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sz w:val="18"/>
          <w:szCs w:val="18"/>
        </w:rPr>
      </w:pPr>
      <w:r>
        <w:rPr>
          <w:b/>
          <w:sz w:val="18"/>
          <w:szCs w:val="18"/>
        </w:rPr>
        <w:t>DATOS DEL NAP:</w:t>
        <w:tab/>
      </w:r>
      <w:r>
        <w:rPr>
          <w:sz w:val="18"/>
          <w:szCs w:val="18"/>
        </w:rPr>
        <w:t>SUBCOMISIÓN ADMINISTRADORA DEL NAP CABASE REGIONAL JUJUY</w:t>
      </w:r>
    </w:p>
    <w:p>
      <w:pPr>
        <w:pStyle w:val="Normal"/>
        <w:numPr>
          <w:ilvl w:val="0"/>
          <w:numId w:val="0"/>
        </w:numPr>
        <w:outlineLvl w:val="0"/>
        <w:rPr>
          <w:sz w:val="18"/>
          <w:szCs w:val="18"/>
        </w:rPr>
      </w:pPr>
      <w:r>
        <w:rPr>
          <w:rFonts w:eastAsia="Calibri" w:cs="Calibri"/>
          <w:sz w:val="18"/>
          <w:szCs w:val="18"/>
        </w:rPr>
        <w:t xml:space="preserve"> </w:t>
      </w:r>
      <w:r>
        <w:rPr>
          <w:sz w:val="18"/>
          <w:szCs w:val="18"/>
        </w:rPr>
        <w:t xml:space="preserve">TRES LESTRAS QUE IDENTIFICAN AL NAP: </w:t>
      </w:r>
      <w:r>
        <w:rPr>
          <w:b/>
          <w:bCs/>
          <w:sz w:val="18"/>
          <w:szCs w:val="18"/>
        </w:rPr>
        <w:t xml:space="preserve">JUJ </w:t>
      </w:r>
    </w:p>
    <w:p>
      <w:pPr>
        <w:pStyle w:val="Normal"/>
        <w:numPr>
          <w:ilvl w:val="0"/>
          <w:numId w:val="0"/>
        </w:numPr>
        <w:outlineLvl w:val="0"/>
        <w:rPr/>
      </w:pPr>
      <w:r>
        <w:rPr>
          <w:b/>
          <w:sz w:val="18"/>
          <w:szCs w:val="18"/>
        </w:rPr>
        <w:t xml:space="preserve">DATOS DE LA REUNIÓN: </w:t>
      </w:r>
      <w:r>
        <w:rPr>
          <w:sz w:val="18"/>
          <w:szCs w:val="18"/>
        </w:rPr>
        <w:t>FECHA:  DÍA 10 MES MARZO AÑO 2026 – 9.30 HS. VIA ZOOM</w:t>
      </w:r>
    </w:p>
    <w:p>
      <w:pPr>
        <w:pStyle w:val="Normal"/>
        <w:numPr>
          <w:ilvl w:val="0"/>
          <w:numId w:val="0"/>
        </w:numPr>
        <w:outlineLvl w:val="0"/>
        <w:rPr/>
      </w:pPr>
      <w:r>
        <w:rPr/>
        <w:t>ASISTENTES:</w:t>
      </w:r>
    </w:p>
    <w:tbl>
      <w:tblPr>
        <w:tblW w:w="7626" w:type="dxa"/>
        <w:jc w:val="start"/>
        <w:tblInd w:w="95" w:type="dxa"/>
        <w:tblLayout w:type="fixed"/>
        <w:tblCellMar>
          <w:top w:w="0" w:type="dxa"/>
          <w:start w:w="10" w:type="dxa"/>
          <w:bottom w:w="0" w:type="dxa"/>
          <w:end w:w="10" w:type="dxa"/>
        </w:tblCellMar>
        <w:tblLook w:firstRow="1" w:noVBand="1" w:lastRow="0" w:firstColumn="1" w:lastColumn="0" w:noHBand="0" w:val="04a0"/>
      </w:tblPr>
      <w:tblGrid>
        <w:gridCol w:w="1660"/>
        <w:gridCol w:w="1661"/>
        <w:gridCol w:w="4305"/>
      </w:tblGrid>
      <w:tr>
        <w:trPr>
          <w:trHeight w:val="406"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auto" w:line="240" w:before="58" w:after="0"/>
              <w:ind w:start="407"/>
              <w:rPr>
                <w:rFonts w:eastAsia="Calibri" w:cs="Calibri"/>
                <w:sz w:val="18"/>
                <w:szCs w:val="18"/>
                <w:lang w:val="en-US"/>
              </w:rPr>
            </w:pPr>
            <w:r>
              <w:rPr>
                <w:rFonts w:eastAsia="Calibri" w:cs="Calibri"/>
                <w:b/>
                <w:spacing w:val="1"/>
                <w:sz w:val="18"/>
                <w:szCs w:val="18"/>
                <w:lang w:val="en-US"/>
              </w:rPr>
              <w:t>N</w:t>
            </w:r>
            <w:r>
              <w:rPr>
                <w:rFonts w:eastAsia="Calibri" w:cs="Calibri"/>
                <w:b/>
                <w:sz w:val="18"/>
                <w:szCs w:val="18"/>
                <w:lang w:val="en-US"/>
              </w:rPr>
              <w:t>O</w:t>
            </w:r>
            <w:r>
              <w:rPr>
                <w:rFonts w:eastAsia="Calibri" w:cs="Calibri"/>
                <w:b/>
                <w:spacing w:val="-2"/>
                <w:sz w:val="18"/>
                <w:szCs w:val="18"/>
                <w:lang w:val="en-US"/>
              </w:rPr>
              <w:t>M</w:t>
            </w:r>
            <w:r>
              <w:rPr>
                <w:rFonts w:eastAsia="Calibri" w:cs="Calibri"/>
                <w:b/>
                <w:spacing w:val="1"/>
                <w:sz w:val="18"/>
                <w:szCs w:val="18"/>
                <w:lang w:val="en-US"/>
              </w:rPr>
              <w:t>B</w:t>
            </w:r>
            <w:r>
              <w:rPr>
                <w:rFonts w:eastAsia="Calibri" w:cs="Calibri"/>
                <w:b/>
                <w:sz w:val="18"/>
                <w:szCs w:val="18"/>
                <w:lang w:val="en-US"/>
              </w:rPr>
              <w:t>RE</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auto" w:line="240" w:before="58" w:after="0"/>
              <w:ind w:start="381"/>
              <w:rPr>
                <w:rFonts w:eastAsia="Calibri" w:cs="Calibri"/>
                <w:sz w:val="18"/>
                <w:szCs w:val="18"/>
                <w:lang w:val="en-US"/>
              </w:rPr>
            </w:pPr>
            <w:r>
              <w:rPr>
                <w:rFonts w:eastAsia="Calibri" w:cs="Calibri"/>
                <w:b/>
                <w:sz w:val="18"/>
                <w:szCs w:val="18"/>
                <w:lang w:val="en-US"/>
              </w:rPr>
              <w:t>APELL</w:t>
            </w:r>
            <w:r>
              <w:rPr>
                <w:rFonts w:eastAsia="Calibri" w:cs="Calibri"/>
                <w:b/>
                <w:spacing w:val="2"/>
                <w:sz w:val="18"/>
                <w:szCs w:val="18"/>
                <w:lang w:val="en-US"/>
              </w:rPr>
              <w:t>I</w:t>
            </w:r>
            <w:r>
              <w:rPr>
                <w:rFonts w:eastAsia="Calibri" w:cs="Calibri"/>
                <w:b/>
                <w:sz w:val="18"/>
                <w:szCs w:val="18"/>
                <w:lang w:val="en-US"/>
              </w:rPr>
              <w:t>DO</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auto" w:line="240" w:before="58" w:after="0"/>
              <w:ind w:start="390"/>
              <w:rPr>
                <w:rFonts w:eastAsia="Calibri" w:cs="Calibri"/>
                <w:sz w:val="18"/>
                <w:szCs w:val="18"/>
                <w:lang w:val="en-US"/>
              </w:rPr>
            </w:pPr>
            <w:r>
              <w:rPr>
                <w:rFonts w:eastAsia="Calibri" w:cs="Calibri"/>
                <w:b/>
                <w:sz w:val="18"/>
                <w:szCs w:val="18"/>
                <w:lang w:val="en-US"/>
              </w:rPr>
              <w:t>R</w:t>
            </w:r>
            <w:r>
              <w:rPr>
                <w:rFonts w:eastAsia="Calibri" w:cs="Calibri"/>
                <w:b/>
                <w:spacing w:val="1"/>
                <w:sz w:val="18"/>
                <w:szCs w:val="18"/>
                <w:lang w:val="en-US"/>
              </w:rPr>
              <w:t>A</w:t>
            </w:r>
            <w:r>
              <w:rPr>
                <w:rFonts w:eastAsia="Calibri" w:cs="Calibri"/>
                <w:b/>
                <w:sz w:val="18"/>
                <w:szCs w:val="18"/>
                <w:lang w:val="en-US"/>
              </w:rPr>
              <w:t>ZÓN</w:t>
            </w:r>
            <w:r>
              <w:rPr>
                <w:rFonts w:eastAsia="Calibri" w:cs="Calibri"/>
                <w:b/>
                <w:spacing w:val="1"/>
                <w:sz w:val="18"/>
                <w:szCs w:val="18"/>
                <w:lang w:val="en-US"/>
              </w:rPr>
              <w:t xml:space="preserve"> </w:t>
            </w:r>
            <w:r>
              <w:rPr>
                <w:rFonts w:eastAsia="Calibri" w:cs="Calibri"/>
                <w:b/>
                <w:spacing w:val="-1"/>
                <w:sz w:val="18"/>
                <w:szCs w:val="18"/>
                <w:lang w:val="en-US"/>
              </w:rPr>
              <w:t>S</w:t>
            </w:r>
            <w:r>
              <w:rPr>
                <w:rFonts w:eastAsia="Calibri" w:cs="Calibri"/>
                <w:b/>
                <w:sz w:val="18"/>
                <w:szCs w:val="18"/>
                <w:lang w:val="en-US"/>
              </w:rPr>
              <w:t>OC</w:t>
            </w:r>
            <w:r>
              <w:rPr>
                <w:rFonts w:eastAsia="Calibri" w:cs="Calibri"/>
                <w:b/>
                <w:spacing w:val="1"/>
                <w:sz w:val="18"/>
                <w:szCs w:val="18"/>
                <w:lang w:val="en-US"/>
              </w:rPr>
              <w:t>I</w:t>
            </w:r>
            <w:r>
              <w:rPr>
                <w:rFonts w:eastAsia="Calibri" w:cs="Calibri"/>
                <w:b/>
                <w:sz w:val="18"/>
                <w:szCs w:val="18"/>
                <w:lang w:val="en-US"/>
              </w:rPr>
              <w:t>AL</w:t>
            </w:r>
            <w:r>
              <w:rPr>
                <w:rFonts w:eastAsia="Calibri" w:cs="Calibri"/>
                <w:b/>
                <w:spacing w:val="1"/>
                <w:sz w:val="18"/>
                <w:szCs w:val="18"/>
                <w:lang w:val="en-US"/>
              </w:rPr>
              <w:t xml:space="preserve"> </w:t>
            </w:r>
            <w:r>
              <w:rPr>
                <w:rFonts w:eastAsia="Calibri" w:cs="Calibri"/>
                <w:b/>
                <w:sz w:val="18"/>
                <w:szCs w:val="18"/>
                <w:lang w:val="en-US"/>
              </w:rPr>
              <w:t>A</w:t>
            </w:r>
            <w:r>
              <w:rPr>
                <w:rFonts w:eastAsia="Calibri" w:cs="Calibri"/>
                <w:b/>
                <w:spacing w:val="1"/>
                <w:sz w:val="18"/>
                <w:szCs w:val="18"/>
                <w:lang w:val="en-US"/>
              </w:rPr>
              <w:t xml:space="preserve"> </w:t>
            </w:r>
            <w:r>
              <w:rPr>
                <w:rFonts w:eastAsia="Calibri" w:cs="Calibri"/>
                <w:b/>
                <w:sz w:val="18"/>
                <w:szCs w:val="18"/>
                <w:lang w:val="en-US"/>
              </w:rPr>
              <w:t>LA</w:t>
            </w:r>
            <w:r>
              <w:rPr>
                <w:rFonts w:eastAsia="Calibri" w:cs="Calibri"/>
                <w:b/>
                <w:spacing w:val="1"/>
                <w:sz w:val="18"/>
                <w:szCs w:val="18"/>
                <w:lang w:val="en-US"/>
              </w:rPr>
              <w:t xml:space="preserve"> </w:t>
            </w:r>
            <w:r>
              <w:rPr>
                <w:rFonts w:eastAsia="Calibri" w:cs="Calibri"/>
                <w:b/>
                <w:sz w:val="18"/>
                <w:szCs w:val="18"/>
                <w:lang w:val="en-US"/>
              </w:rPr>
              <w:t xml:space="preserve">QUE </w:t>
            </w:r>
            <w:r>
              <w:rPr>
                <w:rFonts w:eastAsia="Calibri" w:cs="Calibri"/>
                <w:b/>
                <w:spacing w:val="1"/>
                <w:sz w:val="18"/>
                <w:szCs w:val="18"/>
                <w:lang w:val="en-US"/>
              </w:rPr>
              <w:t>R</w:t>
            </w:r>
            <w:r>
              <w:rPr>
                <w:rFonts w:eastAsia="Calibri" w:cs="Calibri"/>
                <w:b/>
                <w:sz w:val="18"/>
                <w:szCs w:val="18"/>
                <w:lang w:val="en-US"/>
              </w:rPr>
              <w:t>EP</w:t>
            </w:r>
            <w:r>
              <w:rPr>
                <w:rFonts w:eastAsia="Calibri" w:cs="Calibri"/>
                <w:b/>
                <w:spacing w:val="1"/>
                <w:sz w:val="18"/>
                <w:szCs w:val="18"/>
                <w:lang w:val="en-US"/>
              </w:rPr>
              <w:t>R</w:t>
            </w:r>
            <w:r>
              <w:rPr>
                <w:rFonts w:eastAsia="Calibri" w:cs="Calibri"/>
                <w:b/>
                <w:sz w:val="18"/>
                <w:szCs w:val="18"/>
                <w:lang w:val="en-US"/>
              </w:rPr>
              <w:t>E</w:t>
            </w:r>
            <w:r>
              <w:rPr>
                <w:rFonts w:eastAsia="Calibri" w:cs="Calibri"/>
                <w:b/>
                <w:spacing w:val="-1"/>
                <w:sz w:val="18"/>
                <w:szCs w:val="18"/>
                <w:lang w:val="en-US"/>
              </w:rPr>
              <w:t>S</w:t>
            </w:r>
            <w:r>
              <w:rPr>
                <w:rFonts w:eastAsia="Calibri" w:cs="Calibri"/>
                <w:b/>
                <w:sz w:val="18"/>
                <w:szCs w:val="18"/>
                <w:lang w:val="en-US"/>
              </w:rPr>
              <w:t>E</w:t>
            </w:r>
            <w:r>
              <w:rPr>
                <w:rFonts w:eastAsia="Calibri" w:cs="Calibri"/>
                <w:b/>
                <w:spacing w:val="1"/>
                <w:sz w:val="18"/>
                <w:szCs w:val="18"/>
                <w:lang w:val="en-US"/>
              </w:rPr>
              <w:t>NT</w:t>
            </w:r>
            <w:r>
              <w:rPr>
                <w:rFonts w:eastAsia="Calibri" w:cs="Calibri"/>
                <w:b/>
                <w:sz w:val="18"/>
                <w:szCs w:val="18"/>
                <w:lang w:val="en-US"/>
              </w:rPr>
              <w:t>A</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pacing w:val="-1"/>
                <w:position w:val="1"/>
                <w:sz w:val="18"/>
                <w:szCs w:val="18"/>
                <w:lang w:val="en-US"/>
              </w:rPr>
              <w:t>Ju</w:t>
            </w:r>
            <w:r>
              <w:rPr>
                <w:rFonts w:eastAsia="Calibri" w:cs="Calibri"/>
                <w:position w:val="1"/>
                <w:sz w:val="18"/>
                <w:szCs w:val="18"/>
                <w:lang w:val="en-US"/>
              </w:rPr>
              <w:t>an</w:t>
            </w:r>
            <w:r>
              <w:rPr>
                <w:rFonts w:eastAsia="Calibri" w:cs="Calibri"/>
                <w:spacing w:val="-1"/>
                <w:position w:val="1"/>
                <w:sz w:val="18"/>
                <w:szCs w:val="18"/>
                <w:lang w:val="en-US"/>
              </w:rPr>
              <w:t xml:space="preserve"> </w:t>
            </w:r>
            <w:r>
              <w:rPr>
                <w:rFonts w:eastAsia="Calibri" w:cs="Calibri"/>
                <w:position w:val="1"/>
                <w:sz w:val="18"/>
                <w:szCs w:val="18"/>
                <w:lang w:val="en-US"/>
              </w:rPr>
              <w:t>Carl</w:t>
            </w:r>
            <w:r>
              <w:rPr>
                <w:rFonts w:eastAsia="Calibri" w:cs="Calibri"/>
                <w:spacing w:val="1"/>
                <w:position w:val="1"/>
                <w:sz w:val="18"/>
                <w:szCs w:val="18"/>
                <w:lang w:val="en-US"/>
              </w:rPr>
              <w:t>o</w:t>
            </w:r>
            <w:r>
              <w:rPr>
                <w:rFonts w:eastAsia="Calibri" w:cs="Calibri"/>
                <w:position w:val="1"/>
                <w:sz w:val="18"/>
                <w:szCs w:val="18"/>
                <w:lang w:val="en-US"/>
              </w:rPr>
              <w:t>s</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pacing w:val="1"/>
                <w:position w:val="1"/>
                <w:sz w:val="18"/>
                <w:szCs w:val="18"/>
                <w:lang w:val="en-US"/>
              </w:rPr>
              <w:t>M</w:t>
            </w:r>
            <w:r>
              <w:rPr>
                <w:rFonts w:eastAsia="Calibri" w:cs="Calibri"/>
                <w:position w:val="1"/>
                <w:sz w:val="18"/>
                <w:szCs w:val="18"/>
                <w:lang w:val="en-US"/>
              </w:rPr>
              <w:t>ár</w:t>
            </w:r>
            <w:r>
              <w:rPr>
                <w:rFonts w:eastAsia="Calibri" w:cs="Calibri"/>
                <w:spacing w:val="-1"/>
                <w:position w:val="1"/>
                <w:sz w:val="18"/>
                <w:szCs w:val="18"/>
                <w:lang w:val="en-US"/>
              </w:rPr>
              <w:t>qu</w:t>
            </w:r>
            <w:r>
              <w:rPr>
                <w:rFonts w:eastAsia="Calibri" w:cs="Calibri"/>
                <w:position w:val="1"/>
                <w:sz w:val="18"/>
                <w:szCs w:val="18"/>
                <w:lang w:val="en-US"/>
              </w:rPr>
              <w:t>ez</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C</w:t>
            </w:r>
            <w:r>
              <w:rPr>
                <w:rFonts w:eastAsia="Calibri" w:cs="Calibri"/>
                <w:spacing w:val="-1"/>
                <w:position w:val="1"/>
                <w:sz w:val="18"/>
                <w:szCs w:val="18"/>
                <w:lang w:val="en-US"/>
              </w:rPr>
              <w:t>A</w:t>
            </w:r>
            <w:r>
              <w:rPr>
                <w:rFonts w:eastAsia="Calibri" w:cs="Calibri"/>
                <w:position w:val="1"/>
                <w:sz w:val="18"/>
                <w:szCs w:val="18"/>
                <w:lang w:val="en-US"/>
              </w:rPr>
              <w:t>B</w:t>
            </w:r>
            <w:r>
              <w:rPr>
                <w:rFonts w:eastAsia="Calibri" w:cs="Calibri"/>
                <w:spacing w:val="-1"/>
                <w:position w:val="1"/>
                <w:sz w:val="18"/>
                <w:szCs w:val="18"/>
                <w:lang w:val="en-US"/>
              </w:rPr>
              <w:t>A</w:t>
            </w:r>
            <w:r>
              <w:rPr>
                <w:rFonts w:eastAsia="Calibri" w:cs="Calibri"/>
                <w:position w:val="1"/>
                <w:sz w:val="18"/>
                <w:szCs w:val="18"/>
                <w:lang w:val="en-US"/>
              </w:rPr>
              <w:t>SE</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pacing w:val="1"/>
                <w:position w:val="1"/>
                <w:sz w:val="18"/>
                <w:szCs w:val="18"/>
                <w:lang w:val="en-US"/>
              </w:rPr>
              <w:t>P</w:t>
            </w:r>
            <w:r>
              <w:rPr>
                <w:rFonts w:eastAsia="Calibri" w:cs="Calibri"/>
                <w:position w:val="1"/>
                <w:sz w:val="18"/>
                <w:szCs w:val="18"/>
                <w:lang w:val="en-US"/>
              </w:rPr>
              <w:t>a</w:t>
            </w:r>
            <w:r>
              <w:rPr>
                <w:rFonts w:eastAsia="Calibri" w:cs="Calibri"/>
                <w:spacing w:val="-1"/>
                <w:position w:val="1"/>
                <w:sz w:val="18"/>
                <w:szCs w:val="18"/>
                <w:lang w:val="en-US"/>
              </w:rPr>
              <w:t>b</w:t>
            </w:r>
            <w:r>
              <w:rPr>
                <w:rFonts w:eastAsia="Calibri" w:cs="Calibri"/>
                <w:position w:val="1"/>
                <w:sz w:val="18"/>
                <w:szCs w:val="18"/>
                <w:lang w:val="en-US"/>
              </w:rPr>
              <w:t>lo</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G</w:t>
            </w:r>
            <w:r>
              <w:rPr>
                <w:rFonts w:eastAsia="Calibri" w:cs="Calibri"/>
                <w:spacing w:val="1"/>
                <w:position w:val="1"/>
                <w:sz w:val="18"/>
                <w:szCs w:val="18"/>
                <w:lang w:val="en-US"/>
              </w:rPr>
              <w:t>óm</w:t>
            </w:r>
            <w:r>
              <w:rPr>
                <w:rFonts w:eastAsia="Calibri" w:cs="Calibri"/>
                <w:position w:val="1"/>
                <w:sz w:val="18"/>
                <w:szCs w:val="18"/>
                <w:lang w:val="en-US"/>
              </w:rPr>
              <w:t>ez</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SyT</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pacing w:val="1"/>
                <w:position w:val="1"/>
                <w:sz w:val="18"/>
                <w:szCs w:val="18"/>
                <w:lang w:val="en-US"/>
              </w:rPr>
              <w:t>D</w:t>
            </w:r>
            <w:r>
              <w:rPr>
                <w:rFonts w:eastAsia="Calibri" w:cs="Calibri"/>
                <w:position w:val="1"/>
                <w:sz w:val="18"/>
                <w:szCs w:val="18"/>
                <w:lang w:val="en-US"/>
              </w:rPr>
              <w:t>iego</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Ve</w:t>
            </w:r>
            <w:r>
              <w:rPr>
                <w:rFonts w:eastAsia="Calibri" w:cs="Calibri"/>
                <w:spacing w:val="-1"/>
                <w:position w:val="1"/>
                <w:sz w:val="18"/>
                <w:szCs w:val="18"/>
                <w:lang w:val="en-US"/>
              </w:rPr>
              <w:t>d</w:t>
            </w:r>
            <w:r>
              <w:rPr>
                <w:rFonts w:eastAsia="Calibri" w:cs="Calibri"/>
                <w:position w:val="1"/>
                <w:sz w:val="18"/>
                <w:szCs w:val="18"/>
                <w:lang w:val="en-US"/>
              </w:rPr>
              <w:t>ia</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Wari</w:t>
            </w:r>
            <w:r>
              <w:rPr>
                <w:rFonts w:eastAsia="Calibri" w:cs="Calibri"/>
                <w:spacing w:val="-1"/>
                <w:position w:val="1"/>
                <w:sz w:val="18"/>
                <w:szCs w:val="18"/>
                <w:lang w:val="en-US"/>
              </w:rPr>
              <w:t>n</w:t>
            </w:r>
            <w:r>
              <w:rPr>
                <w:rFonts w:eastAsia="Calibri" w:cs="Calibri"/>
                <w:position w:val="1"/>
                <w:sz w:val="18"/>
                <w:szCs w:val="18"/>
                <w:lang w:val="en-US"/>
              </w:rPr>
              <w:t>et</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German</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Gerez</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UNJU</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pacing w:val="1"/>
                <w:position w:val="1"/>
                <w:sz w:val="18"/>
                <w:szCs w:val="18"/>
                <w:lang w:val="en-US"/>
              </w:rPr>
              <w:t>Carlos</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t>Vallespinos</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t>Municipalidad de San Salvador de Jujuy</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Diego</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Bruno</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Pichanal Video Cable</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David</w:t>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Ramirez</w:t>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position w:val="1"/>
                <w:sz w:val="18"/>
                <w:szCs w:val="18"/>
                <w:lang w:val="en-US"/>
              </w:rPr>
              <w:t>Azul Internet</w:t>
            </w:r>
          </w:p>
        </w:tc>
      </w:tr>
      <w:tr>
        <w:trPr>
          <w:trHeight w:val="290" w:hRule="exact"/>
        </w:trPr>
        <w:tc>
          <w:tcPr>
            <w:tcW w:w="1660"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top w:val="single" w:sz="8" w:space="0" w:color="000000"/>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r>
        <w:trPr>
          <w:trHeight w:val="290" w:hRule="exact"/>
        </w:trPr>
        <w:tc>
          <w:tcPr>
            <w:tcW w:w="1660"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1661"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c>
          <w:tcPr>
            <w:tcW w:w="4305" w:type="dxa"/>
            <w:tcBorders>
              <w:start w:val="single" w:sz="8" w:space="0" w:color="000000"/>
              <w:bottom w:val="single" w:sz="8" w:space="0" w:color="000000"/>
              <w:end w:val="single" w:sz="8" w:space="0" w:color="000000"/>
            </w:tcBorders>
          </w:tcPr>
          <w:p>
            <w:pPr>
              <w:pStyle w:val="Normal"/>
              <w:spacing w:lineRule="exact" w:line="260" w:before="0" w:after="0"/>
              <w:ind w:start="28"/>
              <w:rPr>
                <w:rFonts w:eastAsia="Calibri" w:cs="Calibri"/>
                <w:sz w:val="18"/>
                <w:szCs w:val="18"/>
                <w:lang w:val="en-US"/>
              </w:rPr>
            </w:pPr>
            <w:r>
              <w:rPr>
                <w:rFonts w:eastAsia="Calibri" w:cs="Calibri"/>
                <w:sz w:val="18"/>
                <w:szCs w:val="18"/>
                <w:lang w:val="en-US"/>
              </w:rPr>
            </w:r>
          </w:p>
        </w:tc>
      </w:tr>
    </w:tbl>
    <w:p>
      <w:pPr>
        <w:pStyle w:val="Normal"/>
        <w:numPr>
          <w:ilvl w:val="0"/>
          <w:numId w:val="0"/>
        </w:numPr>
        <w:outlineLvl w:val="0"/>
        <w:rPr>
          <w:b/>
          <w:bCs/>
          <w:sz w:val="20"/>
          <w:szCs w:val="20"/>
        </w:rPr>
      </w:pPr>
      <w:r>
        <w:rPr>
          <w:b/>
          <w:bCs/>
          <w:sz w:val="20"/>
          <w:szCs w:val="20"/>
        </w:rPr>
      </w:r>
    </w:p>
    <w:p>
      <w:pPr>
        <w:pStyle w:val="Normal"/>
        <w:rPr>
          <w:b/>
          <w:bCs/>
          <w:sz w:val="20"/>
          <w:szCs w:val="20"/>
        </w:rPr>
      </w:pPr>
      <w:r>
        <w:rPr>
          <w:b/>
          <w:bCs/>
          <w:sz w:val="20"/>
          <w:szCs w:val="20"/>
        </w:rPr>
        <w:t>TEMARIO:</w:t>
      </w:r>
    </w:p>
    <w:p>
      <w:pPr>
        <w:pStyle w:val="ListParagraph"/>
        <w:numPr>
          <w:ilvl w:val="0"/>
          <w:numId w:val="2"/>
        </w:numPr>
        <w:rPr>
          <w:sz w:val="18"/>
          <w:szCs w:val="18"/>
        </w:rPr>
      </w:pPr>
      <w:r>
        <w:rPr>
          <w:sz w:val="18"/>
          <w:szCs w:val="18"/>
        </w:rPr>
        <w:t>INFORME FINANCIERO</w:t>
      </w:r>
    </w:p>
    <w:p>
      <w:pPr>
        <w:pStyle w:val="ListParagraph"/>
        <w:numPr>
          <w:ilvl w:val="0"/>
          <w:numId w:val="2"/>
        </w:numPr>
        <w:rPr>
          <w:sz w:val="18"/>
          <w:szCs w:val="18"/>
        </w:rPr>
      </w:pPr>
      <w:r>
        <w:rPr>
          <w:sz w:val="18"/>
          <w:szCs w:val="18"/>
        </w:rPr>
        <w:t>NUEVO MIEMBRO</w:t>
      </w:r>
    </w:p>
    <w:p>
      <w:pPr>
        <w:pStyle w:val="ListParagraph"/>
        <w:numPr>
          <w:ilvl w:val="0"/>
          <w:numId w:val="2"/>
        </w:numPr>
        <w:rPr>
          <w:sz w:val="18"/>
          <w:szCs w:val="18"/>
        </w:rPr>
      </w:pPr>
      <w:r>
        <w:rPr>
          <w:sz w:val="18"/>
          <w:szCs w:val="18"/>
        </w:rPr>
        <w:t>UNJU</w:t>
      </w:r>
    </w:p>
    <w:p>
      <w:pPr>
        <w:pStyle w:val="ListParagraph"/>
        <w:numPr>
          <w:ilvl w:val="0"/>
          <w:numId w:val="2"/>
        </w:numPr>
        <w:rPr>
          <w:sz w:val="18"/>
          <w:szCs w:val="18"/>
        </w:rPr>
      </w:pPr>
      <w:r>
        <w:rPr>
          <w:sz w:val="18"/>
          <w:szCs w:val="18"/>
        </w:rPr>
        <w:t>NOVEDADES TÉCNICAS</w:t>
      </w:r>
    </w:p>
    <w:p>
      <w:pPr>
        <w:pStyle w:val="ListParagraph"/>
        <w:numPr>
          <w:ilvl w:val="0"/>
          <w:numId w:val="2"/>
        </w:numPr>
        <w:rPr>
          <w:sz w:val="18"/>
          <w:szCs w:val="18"/>
        </w:rPr>
      </w:pPr>
      <w:r>
        <w:rPr>
          <w:sz w:val="18"/>
          <w:szCs w:val="18"/>
        </w:rPr>
        <w:t>MUNICIPALIDAD</w:t>
      </w:r>
    </w:p>
    <w:p>
      <w:pPr>
        <w:pStyle w:val="ListParagraph"/>
        <w:numPr>
          <w:ilvl w:val="0"/>
          <w:numId w:val="2"/>
        </w:numPr>
        <w:rPr>
          <w:sz w:val="18"/>
          <w:szCs w:val="18"/>
        </w:rPr>
      </w:pPr>
      <w:r>
        <w:rPr>
          <w:sz w:val="18"/>
          <w:szCs w:val="18"/>
        </w:rPr>
        <w:t>VARIOS</w:t>
      </w:r>
    </w:p>
    <w:p>
      <w:pPr>
        <w:pStyle w:val="ListParagraph"/>
        <w:numPr>
          <w:ilvl w:val="0"/>
          <w:numId w:val="2"/>
        </w:numPr>
        <w:rPr>
          <w:sz w:val="18"/>
          <w:szCs w:val="18"/>
        </w:rPr>
      </w:pPr>
      <w:r>
        <w:rPr>
          <w:sz w:val="18"/>
          <w:szCs w:val="18"/>
        </w:rPr>
        <w:t>PRÓXIMA REUNIÓN</w:t>
      </w:r>
    </w:p>
    <w:p>
      <w:pPr>
        <w:pStyle w:val="ListParagraph"/>
        <w:rPr>
          <w:b/>
          <w:bCs/>
          <w:sz w:val="18"/>
          <w:szCs w:val="18"/>
        </w:rPr>
      </w:pPr>
      <w:r>
        <w:rPr>
          <w:b/>
          <w:bCs/>
          <w:sz w:val="18"/>
          <w:szCs w:val="18"/>
        </w:rPr>
      </w:r>
    </w:p>
    <w:p>
      <w:pPr>
        <w:pStyle w:val="ListParagraph"/>
        <w:rPr>
          <w:b/>
          <w:bCs/>
          <w:sz w:val="18"/>
          <w:szCs w:val="18"/>
        </w:rPr>
      </w:pPr>
      <w:r>
        <w:rPr>
          <w:b/>
          <w:bCs/>
          <w:sz w:val="18"/>
          <w:szCs w:val="18"/>
        </w:rPr>
        <w:t>______________________________________________________________________________________</w:t>
      </w:r>
    </w:p>
    <w:p>
      <w:pPr>
        <w:pStyle w:val="ListParagraph"/>
        <w:rPr>
          <w:b/>
          <w:bCs/>
          <w:sz w:val="18"/>
          <w:szCs w:val="18"/>
        </w:rPr>
      </w:pPr>
      <w:r>
        <w:rPr>
          <w:b/>
          <w:bCs/>
          <w:sz w:val="18"/>
          <w:szCs w:val="18"/>
        </w:rPr>
      </w:r>
    </w:p>
    <w:p>
      <w:pPr>
        <w:pStyle w:val="ListParagraph"/>
        <w:numPr>
          <w:ilvl w:val="0"/>
          <w:numId w:val="3"/>
        </w:numPr>
        <w:rPr>
          <w:b/>
          <w:bCs/>
          <w:sz w:val="18"/>
          <w:szCs w:val="18"/>
        </w:rPr>
      </w:pPr>
      <w:r>
        <w:rPr>
          <w:b/>
          <w:bCs/>
          <w:sz w:val="18"/>
          <w:szCs w:val="18"/>
        </w:rPr>
        <w:t>INFORME FINANCIERO</w:t>
      </w:r>
    </w:p>
    <w:p>
      <w:pPr>
        <w:pStyle w:val="ListParagraph"/>
        <w:numPr>
          <w:ilvl w:val="0"/>
          <w:numId w:val="1"/>
        </w:numPr>
        <w:rPr>
          <w:sz w:val="18"/>
          <w:szCs w:val="18"/>
        </w:rPr>
      </w:pPr>
      <w:r>
        <w:rPr>
          <w:sz w:val="18"/>
          <w:szCs w:val="18"/>
        </w:rPr>
        <w:t>Fecha 09-MAR-26</w:t>
      </w:r>
    </w:p>
    <w:p>
      <w:pPr>
        <w:pStyle w:val="ListParagraph"/>
        <w:numPr>
          <w:ilvl w:val="0"/>
          <w:numId w:val="1"/>
        </w:numPr>
        <w:rPr>
          <w:sz w:val="18"/>
          <w:szCs w:val="18"/>
        </w:rPr>
      </w:pPr>
      <w:r>
        <w:rPr>
          <w:sz w:val="18"/>
          <w:szCs w:val="18"/>
        </w:rPr>
        <w:t>Caja: $2.618.914,65,33</w:t>
      </w:r>
    </w:p>
    <w:p>
      <w:pPr>
        <w:pStyle w:val="ListParagraph"/>
        <w:numPr>
          <w:ilvl w:val="0"/>
          <w:numId w:val="1"/>
        </w:numPr>
        <w:rPr>
          <w:color w:val="FF0000"/>
          <w:sz w:val="18"/>
          <w:szCs w:val="18"/>
        </w:rPr>
      </w:pPr>
      <w:r>
        <w:rPr>
          <w:color w:val="EE0000"/>
          <w:sz w:val="18"/>
          <w:szCs w:val="18"/>
        </w:rPr>
        <w:t>Cta.Cte.: deuda de $ 1.017.434,54 (sin miembros con 3 periodos)</w:t>
      </w:r>
    </w:p>
    <w:p>
      <w:pPr>
        <w:pStyle w:val="ListParagraph"/>
        <w:numPr>
          <w:ilvl w:val="0"/>
          <w:numId w:val="1"/>
        </w:numPr>
        <w:rPr>
          <w:sz w:val="18"/>
          <w:szCs w:val="18"/>
        </w:rPr>
      </w:pPr>
      <w:r>
        <w:rPr>
          <w:sz w:val="18"/>
          <w:szCs w:val="18"/>
        </w:rPr>
        <w:t>Fondo de Reserva $:  $ 10.051.833,06,27</w:t>
      </w:r>
    </w:p>
    <w:p>
      <w:pPr>
        <w:pStyle w:val="ListParagraph"/>
        <w:numPr>
          <w:ilvl w:val="0"/>
          <w:numId w:val="1"/>
        </w:numPr>
        <w:rPr>
          <w:sz w:val="18"/>
          <w:szCs w:val="18"/>
        </w:rPr>
      </w:pPr>
      <w:r>
        <w:rPr>
          <w:sz w:val="18"/>
          <w:szCs w:val="18"/>
        </w:rPr>
        <w:t>Fondo de Reserva USD: 0</w:t>
      </w:r>
    </w:p>
    <w:p>
      <w:pPr>
        <w:pStyle w:val="ListParagraph"/>
        <w:ind w:start="1080"/>
        <w:rPr>
          <w:sz w:val="18"/>
          <w:szCs w:val="18"/>
        </w:rPr>
      </w:pPr>
      <w:r>
        <w:rPr>
          <w:sz w:val="18"/>
          <w:szCs w:val="18"/>
        </w:rPr>
      </w:r>
    </w:p>
    <w:p>
      <w:pPr>
        <w:pStyle w:val="ListParagraph"/>
        <w:numPr>
          <w:ilvl w:val="0"/>
          <w:numId w:val="3"/>
        </w:numPr>
        <w:rPr>
          <w:b/>
          <w:bCs/>
          <w:sz w:val="18"/>
          <w:szCs w:val="18"/>
        </w:rPr>
      </w:pPr>
      <w:r>
        <w:rPr>
          <w:b/>
          <w:bCs/>
          <w:sz w:val="18"/>
          <w:szCs w:val="18"/>
        </w:rPr>
        <w:t>NUEVO MIEMBRO</w:t>
      </w:r>
    </w:p>
    <w:p>
      <w:pPr>
        <w:pStyle w:val="ListParagraph"/>
        <w:ind w:start="0"/>
        <w:rPr>
          <w:sz w:val="18"/>
          <w:szCs w:val="18"/>
        </w:rPr>
      </w:pPr>
      <w:r>
        <w:rPr>
          <w:sz w:val="18"/>
          <w:szCs w:val="18"/>
        </w:rPr>
      </w:r>
    </w:p>
    <w:p>
      <w:pPr>
        <w:pStyle w:val="ListParagraph"/>
        <w:ind w:start="0"/>
        <w:jc w:val="both"/>
        <w:rPr>
          <w:sz w:val="18"/>
          <w:szCs w:val="18"/>
        </w:rPr>
      </w:pPr>
      <w:r>
        <w:rPr>
          <w:sz w:val="18"/>
          <w:szCs w:val="18"/>
        </w:rPr>
        <w:t>Se contactó Matías Alfaro (Gerente Técnico de Canal 4 de San Salvador de Jujuy), solicitando se analice la posibilidad de conectarse al IXP por parte de Canal 4. Se adelanta este pedido a la mesa y se volverá a plantear el tema en la reunión presencial del mes de Abril en Jujuy.</w:t>
      </w:r>
    </w:p>
    <w:p>
      <w:pPr>
        <w:pStyle w:val="ListParagraph"/>
        <w:ind w:start="360"/>
        <w:rPr>
          <w:b/>
          <w:bCs/>
          <w:sz w:val="18"/>
          <w:szCs w:val="18"/>
        </w:rPr>
      </w:pPr>
      <w:r>
        <w:rPr>
          <w:b/>
          <w:bCs/>
          <w:sz w:val="18"/>
          <w:szCs w:val="18"/>
        </w:rPr>
      </w:r>
    </w:p>
    <w:p>
      <w:pPr>
        <w:pStyle w:val="ListParagraph"/>
        <w:numPr>
          <w:ilvl w:val="0"/>
          <w:numId w:val="3"/>
        </w:numPr>
        <w:rPr>
          <w:b/>
          <w:bCs/>
          <w:sz w:val="18"/>
          <w:szCs w:val="18"/>
        </w:rPr>
      </w:pPr>
      <w:r>
        <w:rPr>
          <w:b/>
          <w:bCs/>
          <w:sz w:val="18"/>
          <w:szCs w:val="18"/>
        </w:rPr>
        <w:t>UNJU</w:t>
      </w:r>
    </w:p>
    <w:p>
      <w:pPr>
        <w:pStyle w:val="ListParagraph"/>
        <w:rPr>
          <w:b/>
          <w:bCs/>
          <w:sz w:val="18"/>
          <w:szCs w:val="18"/>
        </w:rPr>
      </w:pPr>
      <w:r>
        <w:rPr>
          <w:b/>
          <w:bCs/>
          <w:sz w:val="18"/>
          <w:szCs w:val="18"/>
        </w:rPr>
      </w:r>
    </w:p>
    <w:p>
      <w:pPr>
        <w:pStyle w:val="ListParagraph"/>
        <w:ind w:start="0"/>
        <w:jc w:val="both"/>
        <w:rPr>
          <w:sz w:val="18"/>
          <w:szCs w:val="18"/>
        </w:rPr>
      </w:pPr>
      <w:r>
        <w:rPr>
          <w:sz w:val="18"/>
          <w:szCs w:val="18"/>
        </w:rPr>
        <w:t>La mesa del IXP acuerda avanzar con la Renovación del Convenio de colaboración y alojamiento del IXP JUJUY en el actual sitio dentro de la Universidad Nacional de Jujuy (UNJU). Se proseguirá está gestión con el Ing. Germán Jerez.</w:t>
      </w:r>
    </w:p>
    <w:p>
      <w:pPr>
        <w:pStyle w:val="ListParagraph"/>
        <w:ind w:start="0"/>
        <w:rPr>
          <w:sz w:val="18"/>
          <w:szCs w:val="18"/>
        </w:rPr>
      </w:pPr>
      <w:r>
        <w:rPr>
          <w:sz w:val="18"/>
          <w:szCs w:val="18"/>
        </w:rPr>
      </w:r>
    </w:p>
    <w:p>
      <w:pPr>
        <w:pStyle w:val="ListParagraph"/>
        <w:numPr>
          <w:ilvl w:val="0"/>
          <w:numId w:val="3"/>
        </w:numPr>
        <w:rPr>
          <w:b/>
          <w:bCs/>
          <w:sz w:val="18"/>
          <w:szCs w:val="18"/>
        </w:rPr>
      </w:pPr>
      <w:r>
        <w:rPr>
          <w:b/>
          <w:bCs/>
          <w:sz w:val="18"/>
          <w:szCs w:val="18"/>
        </w:rPr>
        <w:t>NOVEDADES TÉCNICAS</w:t>
      </w:r>
    </w:p>
    <w:p>
      <w:pPr>
        <w:pStyle w:val="ListParagraph"/>
        <w:ind w:start="0"/>
        <w:rPr>
          <w:b/>
          <w:bCs/>
          <w:sz w:val="18"/>
          <w:szCs w:val="18"/>
        </w:rPr>
      </w:pPr>
      <w:r>
        <w:rPr>
          <w:b/>
          <w:bCs/>
          <w:sz w:val="18"/>
          <w:szCs w:val="18"/>
        </w:rPr>
      </w:r>
    </w:p>
    <w:p>
      <w:pPr>
        <w:pStyle w:val="ListParagraph"/>
        <w:ind w:start="0"/>
        <w:jc w:val="both"/>
        <w:rPr>
          <w:sz w:val="18"/>
          <w:szCs w:val="18"/>
        </w:rPr>
      </w:pPr>
      <w:r>
        <w:rPr>
          <w:sz w:val="18"/>
          <w:szCs w:val="18"/>
        </w:rPr>
        <w:t>La coordinación técnica comenta que se realizo con éxito la migración del nuevo equipo del Carrier SyT el cual fue un Switch Huawei 6730 para reemplazar los actuales equipos que tenían en funcionamiento.</w:t>
      </w:r>
    </w:p>
    <w:p>
      <w:pPr>
        <w:pStyle w:val="ListParagraph"/>
        <w:ind w:start="0"/>
        <w:jc w:val="both"/>
        <w:rPr>
          <w:sz w:val="18"/>
          <w:szCs w:val="18"/>
        </w:rPr>
      </w:pPr>
      <w:r>
        <w:rPr>
          <w:sz w:val="18"/>
          <w:szCs w:val="18"/>
        </w:rPr>
        <w:t xml:space="preserve">Se trabajo en conjunto y se migraron tanto los enlaces de telecom como toda la conectividad comprometida con la operación del IXP. </w:t>
      </w:r>
    </w:p>
    <w:p>
      <w:pPr>
        <w:pStyle w:val="ListParagraph"/>
        <w:ind w:start="0"/>
        <w:rPr>
          <w:sz w:val="18"/>
          <w:szCs w:val="18"/>
        </w:rPr>
      </w:pPr>
      <w:r>
        <w:rPr>
          <w:sz w:val="18"/>
          <w:szCs w:val="18"/>
        </w:rPr>
      </w:r>
    </w:p>
    <w:p>
      <w:pPr>
        <w:pStyle w:val="ListParagraph"/>
        <w:ind w:start="0"/>
        <w:jc w:val="both"/>
        <w:rPr>
          <w:sz w:val="18"/>
          <w:szCs w:val="18"/>
        </w:rPr>
      </w:pPr>
      <w:r>
        <w:rPr>
          <w:sz w:val="18"/>
          <w:szCs w:val="18"/>
        </w:rPr>
        <w:t xml:space="preserve">Actualmente contamos con el servicio de L2L con una capacidad de 20 Gygas el transporte. </w:t>
      </w:r>
    </w:p>
    <w:p>
      <w:pPr>
        <w:pStyle w:val="ListParagraph"/>
        <w:ind w:start="0"/>
        <w:rPr>
          <w:sz w:val="18"/>
          <w:szCs w:val="18"/>
        </w:rPr>
      </w:pPr>
      <w:r>
        <w:rPr>
          <w:sz w:val="18"/>
          <w:szCs w:val="18"/>
        </w:rPr>
      </w:r>
    </w:p>
    <w:p>
      <w:pPr>
        <w:pStyle w:val="ListParagraph"/>
        <w:ind w:start="0"/>
        <w:jc w:val="both"/>
        <w:rPr>
          <w:sz w:val="18"/>
          <w:szCs w:val="18"/>
        </w:rPr>
      </w:pPr>
      <w:r>
        <w:rPr>
          <w:sz w:val="18"/>
          <w:szCs w:val="18"/>
        </w:rPr>
        <w:t>Pablo Gómez nos informa que SyT solicito una nueva ampliación del transporte a 22 Gygas por el cual momentáneamente asumiría el costo por completo del incremento SyT. Comenta también la posibilidad de negociar los costos y servicios del transporte por medio de Telecom con una nueva solución que seria un TIP Nacional (se usaría para la carga de las CDN Locales) y un L2L para que el contenido que no se encuentre en Telecom se busque en Buenos Aires como venimos trabajando actualmente con un 95% percentil.</w:t>
      </w:r>
    </w:p>
    <w:p>
      <w:pPr>
        <w:pStyle w:val="ListParagraph"/>
        <w:ind w:start="0"/>
        <w:jc w:val="both"/>
        <w:rPr>
          <w:sz w:val="18"/>
          <w:szCs w:val="18"/>
        </w:rPr>
      </w:pPr>
      <w:r>
        <w:rPr>
          <w:sz w:val="18"/>
          <w:szCs w:val="18"/>
        </w:rPr>
      </w:r>
    </w:p>
    <w:p>
      <w:pPr>
        <w:pStyle w:val="ListParagraph"/>
        <w:ind w:start="0"/>
        <w:jc w:val="both"/>
        <w:rPr>
          <w:sz w:val="18"/>
          <w:szCs w:val="18"/>
        </w:rPr>
      </w:pPr>
      <w:r>
        <w:rPr>
          <w:sz w:val="18"/>
          <w:szCs w:val="18"/>
        </w:rPr>
        <w:t>La conectividad física continua de la misma forma que venimos trabajando por lo cual el funcionamiento del IXP seguirá siendo de la misma forma y transparencia con que la trabajamos actualmente.</w:t>
      </w:r>
    </w:p>
    <w:p>
      <w:pPr>
        <w:pStyle w:val="ListParagraph"/>
        <w:ind w:start="0"/>
        <w:jc w:val="both"/>
        <w:rPr>
          <w:sz w:val="18"/>
          <w:szCs w:val="18"/>
        </w:rPr>
      </w:pPr>
      <w:r>
        <w:rPr>
          <w:sz w:val="18"/>
          <w:szCs w:val="18"/>
        </w:rPr>
      </w:r>
    </w:p>
    <w:p>
      <w:pPr>
        <w:pStyle w:val="ListParagraph"/>
        <w:ind w:start="0"/>
        <w:jc w:val="both"/>
        <w:rPr>
          <w:sz w:val="18"/>
          <w:szCs w:val="18"/>
        </w:rPr>
      </w:pPr>
      <w:r>
        <w:rPr>
          <w:sz w:val="18"/>
          <w:szCs w:val="18"/>
        </w:rPr>
        <w:t xml:space="preserve">Germán </w:t>
      </w:r>
      <w:r>
        <w:rPr>
          <w:sz w:val="18"/>
          <w:szCs w:val="18"/>
        </w:rPr>
        <w:t>Jere</w:t>
      </w:r>
      <w:r>
        <w:rPr>
          <w:sz w:val="18"/>
          <w:szCs w:val="18"/>
        </w:rPr>
        <w:t>z consulta si se continua utilizando la fibra de Telecom que termina en el NOC de la Universidad, Pablo Gómez responde que se continua utilizando toda la infraestructura como veníamos trabajando.</w:t>
      </w:r>
    </w:p>
    <w:p>
      <w:pPr>
        <w:pStyle w:val="ListParagraph"/>
        <w:ind w:start="0"/>
        <w:rPr>
          <w:sz w:val="18"/>
          <w:szCs w:val="18"/>
        </w:rPr>
      </w:pPr>
      <w:r>
        <w:rPr>
          <w:sz w:val="18"/>
          <w:szCs w:val="18"/>
        </w:rPr>
      </w:r>
    </w:p>
    <w:p>
      <w:pPr>
        <w:pStyle w:val="ListParagraph"/>
        <w:numPr>
          <w:ilvl w:val="0"/>
          <w:numId w:val="3"/>
        </w:numPr>
        <w:rPr>
          <w:b/>
          <w:bCs/>
          <w:sz w:val="18"/>
          <w:szCs w:val="18"/>
        </w:rPr>
      </w:pPr>
      <w:r>
        <w:rPr>
          <w:b/>
          <w:bCs/>
          <w:sz w:val="18"/>
          <w:szCs w:val="18"/>
        </w:rPr>
        <w:t xml:space="preserve">MUNICIPALIDAD </w:t>
      </w:r>
    </w:p>
    <w:p>
      <w:pPr>
        <w:pStyle w:val="ListParagraph"/>
        <w:ind w:start="0"/>
        <w:rPr>
          <w:sz w:val="18"/>
          <w:szCs w:val="18"/>
        </w:rPr>
      </w:pPr>
      <w:r>
        <w:rPr>
          <w:sz w:val="18"/>
          <w:szCs w:val="18"/>
        </w:rPr>
      </w:r>
    </w:p>
    <w:p>
      <w:pPr>
        <w:pStyle w:val="ListParagraph"/>
        <w:ind w:start="0"/>
        <w:rPr>
          <w:sz w:val="18"/>
          <w:szCs w:val="18"/>
        </w:rPr>
      </w:pPr>
      <w:r>
        <w:rPr>
          <w:sz w:val="18"/>
          <w:szCs w:val="18"/>
        </w:rPr>
        <w:t>Ya se encuentra regularizado el periodo 2025 del acuerdo, y actualmente esta en proceso el acuerdo anual 2026.</w:t>
      </w:r>
    </w:p>
    <w:p>
      <w:pPr>
        <w:pStyle w:val="ListParagraph"/>
        <w:ind w:start="0"/>
        <w:rPr>
          <w:sz w:val="18"/>
          <w:szCs w:val="18"/>
        </w:rPr>
      </w:pPr>
      <w:r>
        <w:rPr>
          <w:sz w:val="18"/>
          <w:szCs w:val="18"/>
        </w:rPr>
      </w:r>
    </w:p>
    <w:p>
      <w:pPr>
        <w:pStyle w:val="ListParagraph"/>
        <w:ind w:start="0"/>
        <w:rPr>
          <w:b/>
          <w:bCs/>
          <w:sz w:val="18"/>
          <w:szCs w:val="18"/>
        </w:rPr>
      </w:pPr>
      <w:r>
        <w:rPr>
          <w:b/>
          <w:bCs/>
          <w:sz w:val="18"/>
          <w:szCs w:val="18"/>
        </w:rPr>
        <w:t>5. VARIOS</w:t>
      </w:r>
    </w:p>
    <w:p>
      <w:pPr>
        <w:pStyle w:val="ListParagraph"/>
        <w:ind w:start="0"/>
        <w:rPr>
          <w:b/>
          <w:bCs/>
          <w:sz w:val="18"/>
          <w:szCs w:val="18"/>
        </w:rPr>
      </w:pPr>
      <w:r>
        <w:rPr>
          <w:b/>
          <w:bCs/>
          <w:sz w:val="18"/>
          <w:szCs w:val="18"/>
        </w:rPr>
      </w:r>
    </w:p>
    <w:p>
      <w:pPr>
        <w:pStyle w:val="ListParagraph"/>
        <w:ind w:start="0"/>
        <w:jc w:val="both"/>
        <w:rPr>
          <w:sz w:val="18"/>
          <w:szCs w:val="18"/>
        </w:rPr>
      </w:pPr>
      <w:r>
        <w:rPr>
          <w:sz w:val="18"/>
          <w:szCs w:val="18"/>
        </w:rPr>
        <w:t>Se solicita nuevamente ver la posibilidad de realizar capacitaciones de IPV6 a cargo de la UNJU con la finalidad de que todos los ISP y Miembros de IXP puedan acceder a la misma.</w:t>
      </w:r>
    </w:p>
    <w:p>
      <w:pPr>
        <w:pStyle w:val="ListParagraph"/>
        <w:ind w:start="0"/>
        <w:jc w:val="both"/>
        <w:rPr>
          <w:sz w:val="18"/>
          <w:szCs w:val="18"/>
        </w:rPr>
      </w:pPr>
      <w:r>
        <w:rPr>
          <w:sz w:val="18"/>
          <w:szCs w:val="18"/>
        </w:rPr>
        <w:t>Pablo Gómez comenta la nueva propuesta de L2L que se podría implementar.</w:t>
      </w:r>
    </w:p>
    <w:p>
      <w:pPr>
        <w:pStyle w:val="ListParagraph"/>
        <w:ind w:start="0"/>
        <w:jc w:val="both"/>
        <w:rPr>
          <w:sz w:val="18"/>
          <w:szCs w:val="18"/>
        </w:rPr>
      </w:pPr>
      <w:r>
        <w:rPr>
          <w:sz w:val="18"/>
          <w:szCs w:val="18"/>
        </w:rPr>
        <w:t>Diego Bruno comenta que muchos ISP no tienen medio propios de como llegar a conectarse al IXP y por tal motivo se propone de armar el PAT en la zona y ver la manera de que todos puedan llegar y sumarse. Actualmente la gran mayoría todos están conectados con Arsat y sufren permanentes inconvenientes.</w:t>
      </w:r>
    </w:p>
    <w:p>
      <w:pPr>
        <w:pStyle w:val="ListParagraph"/>
        <w:ind w:start="0"/>
        <w:jc w:val="both"/>
        <w:rPr>
          <w:sz w:val="18"/>
          <w:szCs w:val="18"/>
        </w:rPr>
      </w:pPr>
      <w:r>
        <w:rPr>
          <w:sz w:val="18"/>
          <w:szCs w:val="18"/>
        </w:rPr>
        <w:t xml:space="preserve">La mesa </w:t>
      </w:r>
      <w:r>
        <w:rPr>
          <w:sz w:val="18"/>
          <w:szCs w:val="18"/>
        </w:rPr>
        <w:t>a</w:t>
      </w:r>
      <w:r>
        <w:rPr>
          <w:sz w:val="18"/>
          <w:szCs w:val="18"/>
        </w:rPr>
        <w:t>prueba la moción de realizar reunión presencial en Jujuy el dia martes 14 de abril a las 10 Hs. en la UNJU.</w:t>
      </w:r>
    </w:p>
    <w:p>
      <w:pPr>
        <w:pStyle w:val="ListParagraph"/>
        <w:ind w:start="0"/>
        <w:jc w:val="both"/>
        <w:rPr>
          <w:sz w:val="18"/>
          <w:szCs w:val="18"/>
        </w:rPr>
      </w:pPr>
      <w:r>
        <w:rPr>
          <w:sz w:val="18"/>
          <w:szCs w:val="18"/>
        </w:rPr>
        <w:t>El dia miércoles 15 de abril se realizará una reunión con Socios de CABASE en Pichanal, y posteriormente la inauguración formal del PAT Pichanal, el cual se conectará al IXP JUJUY.</w:t>
      </w:r>
    </w:p>
    <w:p>
      <w:pPr>
        <w:pStyle w:val="ListParagraph"/>
        <w:ind w:start="0"/>
        <w:rPr>
          <w:sz w:val="18"/>
          <w:szCs w:val="18"/>
        </w:rPr>
      </w:pPr>
      <w:r>
        <w:rPr>
          <w:sz w:val="18"/>
          <w:szCs w:val="18"/>
        </w:rPr>
        <w:t>Se deja aprobado la organización de un Coffe Break de bienvenida el martes 14 a las 9:30 Hs. (previo a la reunión del IXP). Se pedirá a todos los miembros la confirmación de asistencia y el numero de participantes para poder coordinar con tiempo esta jornada.</w:t>
      </w:r>
    </w:p>
    <w:p>
      <w:pPr>
        <w:pStyle w:val="ListParagraph"/>
        <w:ind w:start="0"/>
        <w:rPr>
          <w:sz w:val="18"/>
          <w:szCs w:val="18"/>
        </w:rPr>
      </w:pPr>
      <w:r>
        <w:rPr>
          <w:sz w:val="18"/>
          <w:szCs w:val="18"/>
        </w:rPr>
        <w:t>Se informa a los presentes que el XXIV Encuentro Nacional de Técnicos se llevara a cabo en conjunto con el Internet Day en el mes de Mayo. Encuentro de Técnicos martes 5, miércoles 6 y jueves 7 de Mayo - Internet Day miércoles 6 y jueves 7 de Mayo.</w:t>
      </w:r>
    </w:p>
    <w:p>
      <w:pPr>
        <w:pStyle w:val="ListParagraph"/>
        <w:ind w:start="0"/>
        <w:rPr>
          <w:b/>
          <w:bCs/>
          <w:sz w:val="18"/>
          <w:szCs w:val="18"/>
        </w:rPr>
      </w:pPr>
      <w:r>
        <w:rPr>
          <w:b/>
          <w:bCs/>
          <w:sz w:val="18"/>
          <w:szCs w:val="18"/>
        </w:rPr>
      </w:r>
    </w:p>
    <w:p>
      <w:pPr>
        <w:pStyle w:val="ListParagraph"/>
        <w:ind w:start="0"/>
        <w:rPr>
          <w:sz w:val="18"/>
          <w:szCs w:val="18"/>
        </w:rPr>
      </w:pPr>
      <w:r>
        <w:rPr>
          <w:sz w:val="18"/>
          <w:szCs w:val="18"/>
        </w:rPr>
        <w:t xml:space="preserve">Próxima reunión: Presencial 14 de Abril de 2026 a las 10 Hs. en Sala de la UNJU. </w:t>
      </w:r>
    </w:p>
    <w:p>
      <w:pPr>
        <w:pStyle w:val="ListParagraph"/>
        <w:ind w:start="0"/>
        <w:rPr>
          <w:sz w:val="18"/>
          <w:szCs w:val="18"/>
        </w:rPr>
      </w:pPr>
      <w:r>
        <w:rPr>
          <w:sz w:val="18"/>
          <w:szCs w:val="18"/>
        </w:rPr>
        <w:t>______________________________________________________________________________________________</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6"/>
          <w:szCs w:val="16"/>
        </w:rPr>
      </w:pPr>
      <w:r>
        <w:rPr>
          <w:sz w:val="16"/>
          <w:szCs w:val="16"/>
        </w:rPr>
      </w:r>
    </w:p>
    <w:p>
      <w:pPr>
        <w:pStyle w:val="Normal"/>
        <w:rPr>
          <w:sz w:val="16"/>
          <w:szCs w:val="16"/>
        </w:rPr>
      </w:pPr>
      <w:r>
        <w:rPr>
          <w:sz w:val="16"/>
          <w:szCs w:val="16"/>
        </w:rPr>
      </w:r>
    </w:p>
    <w:p>
      <w:pPr>
        <w:pStyle w:val="Normal"/>
        <w:spacing w:before="0" w:after="200"/>
        <w:jc w:val="center"/>
        <w:rPr>
          <w:sz w:val="16"/>
          <w:szCs w:val="16"/>
        </w:rPr>
      </w:pPr>
      <w:r>
        <w:rPr>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Recuerde enviar escaneada vía mail a </w:t>
    </w:r>
    <w:hyperlink r:id="rId1">
      <w:r>
        <w:rPr>
          <w:rStyle w:val="Hyperlink"/>
        </w:rPr>
        <w:t>administracion@cabase.org.ar</w:t>
      </w:r>
    </w:hyperlink>
    <w:r>
      <w:rPr/>
      <w:t xml:space="preserve"> juntamente con la hoja de asistencia para  su arhivo en la carpeta  correspondiente</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Recuerde enviar escaneada vía mail a </w:t>
    </w:r>
    <w:hyperlink r:id="rId1">
      <w:r>
        <w:rPr>
          <w:rStyle w:val="Hyperlink"/>
        </w:rPr>
        <w:t>administracion@cabase.org.ar</w:t>
      </w:r>
    </w:hyperlink>
    <w:r>
      <w:rPr/>
      <w:t xml:space="preserve"> juntamente con la hoja de asistencia para  su arhivo en la carpeta  correspondiente</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C0C0C0"/>
      </w:rPr>
    </w:pPr>
    <w:r>
      <w:rPr/>
      <w:drawing>
        <wp:inline distT="0" distB="0" distL="0" distR="0">
          <wp:extent cx="3194050" cy="779780"/>
          <wp:effectExtent l="0" t="0" r="0" b="0"/>
          <wp:docPr id="1"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Imagen"/>
                  <pic:cNvPicPr>
                    <a:picLocks noChangeAspect="1" noChangeArrowheads="1"/>
                  </pic:cNvPicPr>
                </pic:nvPicPr>
                <pic:blipFill>
                  <a:blip r:embed="rId1"/>
                  <a:srcRect l="-18" t="-75" r="-18" b="-75"/>
                  <a:stretch>
                    <a:fillRect/>
                  </a:stretch>
                </pic:blipFill>
                <pic:spPr bwMode="auto">
                  <a:xfrm>
                    <a:off x="0" y="0"/>
                    <a:ext cx="3194050" cy="779780"/>
                  </a:xfrm>
                  <a:prstGeom prst="rect">
                    <a:avLst/>
                  </a:prstGeom>
                  <a:noFill/>
                </pic:spPr>
              </pic:pic>
            </a:graphicData>
          </a:graphic>
        </wp:inline>
      </w:drawing>
    </w:r>
  </w:p>
  <w:p>
    <w:pPr>
      <w:pStyle w:val="Header"/>
      <w:jc w:val="center"/>
      <w:rPr>
        <w:b/>
        <w:color w:val="C0C0C0"/>
      </w:rPr>
    </w:pPr>
    <w:r>
      <w:rPr>
        <w:b/>
        <w:color w:val="C0C0C0"/>
      </w:rPr>
    </w:r>
  </w:p>
  <w:p>
    <w:pPr>
      <w:pStyle w:val="Header"/>
      <w:jc w:val="center"/>
      <w:rPr>
        <w:b/>
        <w:color w:val="C0C0C0"/>
      </w:rPr>
    </w:pPr>
    <w:r>
      <w:rPr>
        <w:b/>
        <w:color w:val="C0C0C0"/>
      </w:rPr>
      <w:t xml:space="preserve">ACTA DE REUNIÓN </w:t>
    </w:r>
  </w:p>
  <w:p>
    <w:pPr>
      <w:pStyle w:val="Header"/>
      <w:jc w:val="center"/>
      <w:rPr>
        <w:b/>
        <w:color w:val="C0C0C0"/>
      </w:rPr>
    </w:pPr>
    <w:r>
      <w:rPr>
        <w:b/>
        <w:color w:val="C0C0C0"/>
      </w:rPr>
    </w:r>
  </w:p>
  <w:p>
    <w:pPr>
      <w:pStyle w:val="Header"/>
      <w:rPr>
        <w:b/>
        <w:color w:val="C0C0C0"/>
      </w:rPr>
    </w:pPr>
    <w:r>
      <w:rPr>
        <w:b/>
        <w:color w:val="C0C0C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C0C0C0"/>
      </w:rPr>
    </w:pPr>
    <w:r>
      <w:rPr/>
      <w:drawing>
        <wp:inline distT="0" distB="0" distL="0" distR="0">
          <wp:extent cx="3194050" cy="779780"/>
          <wp:effectExtent l="0" t="0" r="0" b="0"/>
          <wp:docPr id="2"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Imagen"/>
                  <pic:cNvPicPr>
                    <a:picLocks noChangeAspect="1" noChangeArrowheads="1"/>
                  </pic:cNvPicPr>
                </pic:nvPicPr>
                <pic:blipFill>
                  <a:blip r:embed="rId1"/>
                  <a:srcRect l="-18" t="-75" r="-18" b="-75"/>
                  <a:stretch>
                    <a:fillRect/>
                  </a:stretch>
                </pic:blipFill>
                <pic:spPr bwMode="auto">
                  <a:xfrm>
                    <a:off x="0" y="0"/>
                    <a:ext cx="3194050" cy="779780"/>
                  </a:xfrm>
                  <a:prstGeom prst="rect">
                    <a:avLst/>
                  </a:prstGeom>
                  <a:noFill/>
                </pic:spPr>
              </pic:pic>
            </a:graphicData>
          </a:graphic>
        </wp:inline>
      </w:drawing>
    </w:r>
  </w:p>
  <w:p>
    <w:pPr>
      <w:pStyle w:val="Header"/>
      <w:jc w:val="center"/>
      <w:rPr>
        <w:b/>
        <w:color w:val="C0C0C0"/>
      </w:rPr>
    </w:pPr>
    <w:r>
      <w:rPr>
        <w:b/>
        <w:color w:val="C0C0C0"/>
      </w:rPr>
    </w:r>
  </w:p>
  <w:p>
    <w:pPr>
      <w:pStyle w:val="Header"/>
      <w:jc w:val="center"/>
      <w:rPr>
        <w:b/>
        <w:color w:val="C0C0C0"/>
      </w:rPr>
    </w:pPr>
    <w:r>
      <w:rPr>
        <w:b/>
        <w:color w:val="C0C0C0"/>
      </w:rPr>
      <w:t xml:space="preserve">ACTA DE REUNIÓN </w:t>
    </w:r>
  </w:p>
  <w:p>
    <w:pPr>
      <w:pStyle w:val="Header"/>
      <w:jc w:val="center"/>
      <w:rPr>
        <w:b/>
        <w:color w:val="C0C0C0"/>
      </w:rPr>
    </w:pPr>
    <w:r>
      <w:rPr>
        <w:b/>
        <w:color w:val="C0C0C0"/>
      </w:rPr>
    </w:r>
  </w:p>
  <w:p>
    <w:pPr>
      <w:pStyle w:val="Header"/>
      <w:rPr>
        <w:b/>
        <w:color w:val="C0C0C0"/>
      </w:rPr>
    </w:pPr>
    <w:r>
      <w:rPr>
        <w:b/>
        <w:color w:val="C0C0C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Symbol" w:hAnsi="Symbol" w:cs="Symbol" w:hint="default"/>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rFonts w:cs="Times New Roman"/>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decimal"/>
      <w:lvlText w:val="%1."/>
      <w:lvlJc w:val="start"/>
      <w:pPr>
        <w:tabs>
          <w:tab w:val="num" w:pos="0"/>
        </w:tabs>
        <w:ind w:start="360" w:hanging="360"/>
      </w:pPr>
      <w:rPr>
        <w:b/>
        <w:bCs/>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s-A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Times New Roman" w:cs="Times New Roman"/>
      <w:color w:val="auto"/>
      <w:kern w:val="0"/>
      <w:sz w:val="22"/>
      <w:szCs w:val="22"/>
      <w:lang w:val="es-ES" w:bidi="ar-SA"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cs="Times New Roman"/>
    </w:rPr>
  </w:style>
  <w:style w:type="character" w:styleId="WW8Num5z0" w:customStyle="1">
    <w:name w:val="WW8Num5z0"/>
    <w:qFormat/>
    <w:rPr>
      <w:rFonts w:cs="Times New Roman"/>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b/>
      <w:bCs/>
    </w:rPr>
  </w:style>
  <w:style w:type="character" w:styleId="EncabezadoCar" w:customStyle="1">
    <w:name w:val="Encabezado Car"/>
    <w:qFormat/>
    <w:rPr>
      <w:rFonts w:cs="Times New Roman"/>
    </w:rPr>
  </w:style>
  <w:style w:type="character" w:styleId="PiedepginaCar" w:customStyle="1">
    <w:name w:val="Pie de página Car"/>
    <w:qFormat/>
    <w:rPr>
      <w:rFonts w:cs="Times New Roman"/>
    </w:rPr>
  </w:style>
  <w:style w:type="character" w:styleId="TextodegloboCar" w:customStyle="1">
    <w:name w:val="Texto de globo Car"/>
    <w:qFormat/>
    <w:rPr>
      <w:rFonts w:ascii="Tahoma" w:hAnsi="Tahoma" w:cs="Tahoma"/>
      <w:sz w:val="16"/>
      <w:szCs w:val="16"/>
    </w:rPr>
  </w:style>
  <w:style w:type="character" w:styleId="Hyperlink">
    <w:name w:val="Hyperlink"/>
    <w:rPr>
      <w:rFonts w:cs="Times New Roman"/>
      <w:color w:val="0000FF"/>
      <w:u w:val="single"/>
    </w:rPr>
  </w:style>
  <w:style w:type="character" w:styleId="UnresolvedMention">
    <w:name w:val="Unresolved Mention"/>
    <w:qFormat/>
    <w:rPr>
      <w:color w:val="605E5C"/>
      <w:shd w:fill="E1DFDD" w:val="clear"/>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Arial"/>
    </w:rPr>
  </w:style>
  <w:style w:type="paragraph" w:styleId="caption1" w:customStyle="1">
    <w:name w:val="caption1"/>
    <w:basedOn w:val="Normal"/>
    <w:qFormat/>
    <w:pPr>
      <w:suppressLineNumbers/>
      <w:spacing w:before="120" w:after="120"/>
    </w:pPr>
    <w:rPr>
      <w:rFonts w:cs="Lucida Sans"/>
      <w:i/>
      <w:iCs/>
      <w:sz w:val="24"/>
      <w:szCs w:val="24"/>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beceraypieuser" w:customStyle="1">
    <w:name w:val="Cabecera y pie (user)"/>
    <w:basedOn w:val="Normal"/>
    <w:qFormat/>
    <w:pPr/>
    <w:rPr/>
  </w:style>
  <w:style w:type="paragraph" w:styleId="Header">
    <w:name w:val="header"/>
    <w:basedOn w:val="Normal"/>
    <w:pPr>
      <w:tabs>
        <w:tab w:val="clear" w:pos="708"/>
        <w:tab w:val="center" w:pos="4252" w:leader="none"/>
        <w:tab w:val="right" w:pos="8504" w:leader="none"/>
      </w:tabs>
      <w:spacing w:lineRule="auto" w:line="240" w:before="0" w:after="0"/>
    </w:pPr>
    <w:rPr/>
  </w:style>
  <w:style w:type="paragraph" w:styleId="Footer">
    <w:name w:val="footer"/>
    <w:basedOn w:val="Normal"/>
    <w:pPr>
      <w:tabs>
        <w:tab w:val="clear" w:pos="708"/>
        <w:tab w:val="center" w:pos="4252" w:leader="none"/>
        <w:tab w:val="right" w:pos="8504"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start="720"/>
      <w:contextualSpacing/>
    </w:pPr>
    <w:rPr/>
  </w:style>
  <w:style w:type="paragraph" w:styleId="DocumentMap">
    <w:name w:val="Document Map"/>
    <w:basedOn w:val="Normal"/>
    <w:qFormat/>
    <w:pPr>
      <w:shd w:val="clear" w:color="auto" w:fill="000080"/>
    </w:pPr>
    <w:rPr>
      <w:rFonts w:ascii="Tahoma" w:hAnsi="Tahoma" w:cs="Tahoma"/>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ingunalista" w:default="1">
    <w:name w:val="Ninguna lista"/>
    <w:uiPriority w:val="99"/>
    <w:semiHidden/>
    <w:unhideWhenUsed/>
    <w:qFormat/>
  </w:style>
  <w:style w:type="numbering" w:styleId="Ningunalistauser" w:customStyle="1">
    <w:name w:val="Ninguna lista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administracion@cabase.org.ar" TargetMode="External"/>
</Relationships>
</file>

<file path=word/_rels/footer3.xml.rels><?xml version="1.0" encoding="UTF-8"?>
<Relationships xmlns="http://schemas.openxmlformats.org/package/2006/relationships"><Relationship Id="rId1" Type="http://schemas.openxmlformats.org/officeDocument/2006/relationships/hyperlink" Target="mailto:administracion@cabase.org.ar"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LibreOffice/25.8.4.2$Windows_X86_64 LibreOffice_project/290daaa01b999472f0c7a3890eb6a550fd74c6df</Application>
  <AppVersion>15.0000</AppVersion>
  <Pages>3</Pages>
  <Words>778</Words>
  <Characters>3972</Characters>
  <CharactersWithSpaces>4678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2026-03-10T15:12:00Z</dcterms:created>
  <dc:creator>Silvana Landolfo</dc:creator>
  <dc:description/>
  <dc:language>es-AR</dc:language>
  <cp:lastModifiedBy/>
  <cp:lastPrinted>2025-11-17T17:55:00Z</cp:lastPrinted>
  <dcterms:modified xsi:type="dcterms:W3CDTF">2026-03-10T12:18:43Z</dcterms:modified>
  <cp:revision>3</cp:revision>
  <dc:subject/>
  <dc:title>DATOS DEL NAP:</dc:title>
</cp:coreProperties>
</file>

<file path=docProps/custom.xml><?xml version="1.0" encoding="utf-8"?>
<Properties xmlns="http://schemas.openxmlformats.org/officeDocument/2006/custom-properties" xmlns:vt="http://schemas.openxmlformats.org/officeDocument/2006/docPropsVTypes"/>
</file>