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TRES LESTRAS QUE IDENTIFICAN AL IXP/NAP UAQ</w:t>
      </w:r>
    </w:p>
    <w:p>
      <w:pPr>
        <w:pStyle w:val="Normal"/>
        <w:spacing w:lineRule="auto" w:line="240" w:beforeAutospacing="1" w:afterAutospacing="1"/>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 xml:space="preserve">FECHA: DÍA </w:t>
      </w:r>
      <w:r>
        <w:rPr>
          <w:rFonts w:eastAsia="Times New Roman" w:cs="Times New Roman" w:ascii="Times New Roman" w:hAnsi="Times New Roman"/>
          <w:sz w:val="20"/>
          <w:szCs w:val="20"/>
          <w:lang w:eastAsia="es-AR"/>
        </w:rPr>
        <w:t>05</w:t>
      </w:r>
      <w:r>
        <w:rPr>
          <w:rFonts w:eastAsia="Times New Roman" w:cs="Times New Roman" w:ascii="Times New Roman" w:hAnsi="Times New Roman"/>
          <w:sz w:val="20"/>
          <w:szCs w:val="20"/>
          <w:lang w:eastAsia="es-AR"/>
        </w:rPr>
        <w:t xml:space="preserve"> de </w:t>
      </w:r>
      <w:r>
        <w:rPr>
          <w:rFonts w:eastAsia="Times New Roman" w:cs="Times New Roman" w:ascii="Times New Roman" w:hAnsi="Times New Roman"/>
          <w:sz w:val="20"/>
          <w:szCs w:val="20"/>
          <w:lang w:eastAsia="es-AR"/>
        </w:rPr>
        <w:t>diciembre</w:t>
      </w:r>
      <w:r>
        <w:rPr>
          <w:rFonts w:eastAsia="Times New Roman" w:cs="Times New Roman" w:ascii="Times New Roman" w:hAnsi="Times New Roman"/>
          <w:sz w:val="20"/>
          <w:szCs w:val="20"/>
          <w:lang w:eastAsia="es-AR"/>
        </w:rPr>
        <w:t xml:space="preserve"> de 2019</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PRESENTES EN LA REUNIÓN:</w:t>
      </w:r>
    </w:p>
    <w:tbl>
      <w:tblPr>
        <w:tblW w:w="7705" w:type="dxa"/>
        <w:jc w:val="left"/>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60" w:type="dxa"/>
          <w:bottom w:w="0" w:type="dxa"/>
          <w:right w:w="70" w:type="dxa"/>
        </w:tblCellMar>
        <w:tblLook w:noVBand="1" w:val="04a0" w:noHBand="0" w:lastColumn="0" w:firstColumn="1" w:lastRow="0" w:firstRow="1"/>
      </w:tblPr>
      <w:tblGrid>
        <w:gridCol w:w="1289"/>
        <w:gridCol w:w="1319"/>
        <w:gridCol w:w="4082"/>
        <w:gridCol w:w="1014"/>
      </w:tblGrid>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NOMBRE</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APELLIDO</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eastAsia="es-ES"/>
              </w:rPr>
              <w:t xml:space="preserve">RAZÓN SOCIAL A LA QUE REPRESENTA </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 xml:space="preserve">CARGO </w:t>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David</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Vega </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I-TIC </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Graciela</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Sanchez</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CABASE</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Ernesto</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Golomb</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Iván</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Gutierrez</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INTERSAT</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Alejandro</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Cuadra</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Técnico IXP</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Miguel</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Morandi</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UNSJ</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Gastón</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Pechieu</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BIP</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Raúl</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Cortez</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ZETRO</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Ariel</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Passarelli</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CLARO</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Carlos</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Guillen</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GPS</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Hernán</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Bourdieu</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CLARO</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Ricardo</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Goldberg</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XF</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Víctor</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Romero</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CLARO</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Facundo</w:t>
            </w:r>
          </w:p>
        </w:tc>
        <w:tc>
          <w:tcPr>
            <w:tcW w:w="13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Caselles</w:t>
            </w:r>
          </w:p>
        </w:tc>
        <w:tc>
          <w:tcPr>
            <w:tcW w:w="408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On Power</w:t>
            </w:r>
          </w:p>
        </w:tc>
        <w:tc>
          <w:tcPr>
            <w:tcW w:w="101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Roberto</w:t>
            </w:r>
          </w:p>
        </w:tc>
        <w:tc>
          <w:tcPr>
            <w:tcW w:w="1319"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Agüero</w:t>
            </w:r>
          </w:p>
        </w:tc>
        <w:tc>
          <w:tcPr>
            <w:tcW w:w="4082"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Netropolys</w:t>
            </w:r>
          </w:p>
        </w:tc>
        <w:tc>
          <w:tcPr>
            <w:tcW w:w="101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89"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Martín</w:t>
            </w:r>
          </w:p>
        </w:tc>
        <w:tc>
          <w:tcPr>
            <w:tcW w:w="1319"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Rodriguez</w:t>
            </w:r>
          </w:p>
        </w:tc>
        <w:tc>
          <w:tcPr>
            <w:tcW w:w="4082"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CABASE</w:t>
            </w:r>
          </w:p>
        </w:tc>
        <w:tc>
          <w:tcPr>
            <w:tcW w:w="101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 </w:t>
      </w:r>
      <w:r>
        <w:rPr>
          <w:rFonts w:eastAsia="Times New Roman" w:cs="Times New Roman" w:ascii="Times New Roman" w:hAnsi="Times New Roman"/>
          <w:sz w:val="24"/>
          <w:szCs w:val="24"/>
          <w:lang w:eastAsia="es-AR"/>
        </w:rPr>
        <w:t>TEMARIO:</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1.</w:t>
      </w:r>
      <w:r>
        <w:rPr>
          <w:rFonts w:eastAsia="Times New Roman" w:cs="Times New Roman" w:ascii="Times New Roman" w:hAnsi="Times New Roman"/>
          <w:sz w:val="14"/>
          <w:szCs w:val="14"/>
          <w:lang w:eastAsia="es-AR"/>
        </w:rPr>
        <w:t xml:space="preserve">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Autospacing="1" w:afterAutospacing="1"/>
        <w:rPr/>
      </w:pPr>
      <w:r>
        <w:rPr>
          <w:rFonts w:eastAsia="Times New Roman" w:cs="Times New Roman" w:ascii="Times New Roman" w:hAnsi="Times New Roman"/>
          <w:sz w:val="16"/>
          <w:szCs w:val="16"/>
          <w:lang w:eastAsia="es-AR"/>
        </w:rPr>
        <w:t> </w:t>
      </w:r>
      <w:r>
        <w:rPr>
          <w:rFonts w:eastAsia="Times New Roman" w:cs="Times New Roman" w:ascii="Times New Roman" w:hAnsi="Times New Roman"/>
          <w:sz w:val="16"/>
          <w:szCs w:val="16"/>
          <w:lang w:eastAsia="es-AR"/>
        </w:rPr>
        <w:tab/>
      </w:r>
      <w:hyperlink r:id="rId2" w:tgtFrame="Este enlace externo se abrirá en una nueva ventana">
        <w:r>
          <w:rPr>
            <w:rStyle w:val="ListLabel16"/>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   </w:t>
      </w:r>
    </w:p>
    <w:p>
      <w:pPr>
        <w:pStyle w:val="Normal"/>
        <w:spacing w:lineRule="auto" w:line="240" w:beforeAutospacing="1" w:afterAutospacing="1"/>
        <w:ind w:hanging="360"/>
        <w:rPr/>
      </w:pPr>
      <w:r>
        <w:rPr>
          <w:rFonts w:eastAsia="Times New Roman" w:cs="Times New Roman" w:ascii="Times New Roman" w:hAnsi="Times New Roman"/>
          <w:sz w:val="24"/>
          <w:szCs w:val="24"/>
          <w:lang w:eastAsia="es-AR"/>
        </w:rPr>
        <w:t>2.       Caja, se cuenta con el siguiente detalle:</w:t>
      </w:r>
    </w:p>
    <w:p>
      <w:pPr>
        <w:pStyle w:val="Normal"/>
        <w:spacing w:lineRule="auto" w:line="240" w:beforeAutospacing="1" w:afterAutospacing="1"/>
        <w:ind w:left="720" w:hanging="0"/>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 xml:space="preserve">Caja: </w:t>
      </w:r>
      <w:r>
        <w:rPr>
          <w:rFonts w:eastAsia="Times New Roman" w:cs="Times New Roman" w:ascii="Times New Roman" w:hAnsi="Times New Roman"/>
          <w:sz w:val="24"/>
          <w:szCs w:val="24"/>
          <w:lang w:eastAsia="es-AR"/>
        </w:rPr>
        <w:t xml:space="preserve">$ </w:t>
      </w:r>
      <w:r>
        <w:rPr>
          <w:rFonts w:eastAsia="Times New Roman" w:cs="Times New Roman" w:ascii="Times New Roman" w:hAnsi="Times New Roman"/>
          <w:color w:val="CE181E"/>
          <w:sz w:val="24"/>
          <w:szCs w:val="24"/>
          <w:lang w:eastAsia="es-AR"/>
        </w:rPr>
        <w:t>-6854,-</w:t>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Fondo de Reserva: Total: 57.660,-   En dólares: U$S6.000,-</w:t>
      </w:r>
    </w:p>
    <w:p>
      <w:pPr>
        <w:pStyle w:val="Normal"/>
        <w:spacing w:lineRule="auto" w:line="240" w:beforeAutospacing="1" w:afterAutospacing="1"/>
        <w:contextualSpacing/>
        <w:rPr/>
      </w:pPr>
      <w:r>
        <w:rPr>
          <w:rFonts w:eastAsia="Times New Roman" w:cs="Times New Roman" w:ascii="Times New Roman" w:hAnsi="Times New Roman"/>
          <w:sz w:val="24"/>
          <w:szCs w:val="24"/>
          <w:lang w:eastAsia="es-AR"/>
        </w:rPr>
        <w:t>Deuda: $</w:t>
      </w:r>
      <w:r>
        <w:rPr>
          <w:rFonts w:eastAsia="Times New Roman" w:cs="Times New Roman" w:ascii="Times New Roman" w:hAnsi="Times New Roman"/>
          <w:sz w:val="24"/>
          <w:szCs w:val="24"/>
          <w:lang w:eastAsia="es-AR"/>
        </w:rPr>
        <w:t>326.517,28</w:t>
      </w:r>
      <w:r>
        <w:rPr>
          <w:rFonts w:eastAsia="Times New Roman" w:cs="Times New Roman" w:ascii="Times New Roman" w:hAnsi="Times New Roman"/>
          <w:sz w:val="24"/>
          <w:szCs w:val="24"/>
          <w:lang w:eastAsia="es-AR"/>
        </w:rPr>
        <w:t>,-</w:t>
      </w:r>
    </w:p>
    <w:p>
      <w:pPr>
        <w:pStyle w:val="Normal"/>
        <w:spacing w:lineRule="auto" w:line="240" w:beforeAutospacing="1" w:afterAutospacing="1"/>
        <w:contextualSpacing/>
        <w:rPr>
          <w:rFonts w:ascii="Times New Roman" w:hAnsi="Times New Roman" w:eastAsia="Times New Roman" w:cs="Times New Roman"/>
          <w:sz w:val="24"/>
          <w:szCs w:val="24"/>
          <w:lang w:eastAsia="es-AR"/>
        </w:rPr>
      </w:pPr>
      <w:r>
        <w:rPr/>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Autospacing="1" w:afterAutospacing="1"/>
        <w:rPr>
          <w:rFonts w:ascii="Times New Roman" w:hAnsi="Times New Roman" w:eastAsia="Times New Roman" w:cs="Times New Roman"/>
          <w:b w:val="false"/>
          <w:b w:val="false"/>
          <w:bCs w:val="false"/>
          <w:color w:val="auto"/>
          <w:kern w:val="0"/>
          <w:sz w:val="24"/>
          <w:szCs w:val="24"/>
          <w:lang w:val="es-AR" w:eastAsia="es-AR" w:bidi="ar-SA"/>
        </w:rPr>
      </w:pPr>
      <w:r>
        <w:rPr>
          <w:rFonts w:eastAsia="Times New Roman" w:cs="Times New Roman" w:ascii="Times New Roman" w:hAnsi="Times New Roman"/>
          <w:b w:val="false"/>
          <w:bCs w:val="false"/>
          <w:color w:val="auto"/>
          <w:kern w:val="0"/>
          <w:sz w:val="24"/>
          <w:szCs w:val="24"/>
          <w:lang w:val="es-AR" w:eastAsia="es-AR" w:bidi="ar-SA"/>
        </w:rPr>
        <w:t>Sin novedades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4. STATUS DE CONEXIONES TÉCNICAS DEL IXP UAQ: </w:t>
      </w:r>
    </w:p>
    <w:p>
      <w:pPr>
        <w:pStyle w:val="Normal"/>
        <w:spacing w:lineRule="auto" w:line="240" w:beforeAutospacing="1" w:afterAutospacing="1"/>
        <w:rPr/>
      </w:pPr>
      <w:r>
        <w:rPr>
          <w:rFonts w:eastAsia="Times New Roman" w:cs="Times New Roman" w:ascii="Times New Roman" w:hAnsi="Times New Roman"/>
          <w:sz w:val="24"/>
          <w:szCs w:val="24"/>
          <w:lang w:eastAsia="es-AR"/>
        </w:rPr>
        <w:t>Prueba del switch Dell, entre los días 6 y 7 de diciembre se terminarán las pruebas, de lo contrario el día lunes se procederá a la compra del switch presupuestado.</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4"/>
          <w:szCs w:val="24"/>
          <w:lang w:eastAsia="es-AR"/>
        </w:rPr>
        <w:t xml:space="preserve">5- </w:t>
      </w:r>
      <w:r>
        <w:rPr>
          <w:rFonts w:eastAsia="Times New Roman" w:cs="Times New Roman" w:ascii="Times New Roman" w:hAnsi="Times New Roman"/>
          <w:sz w:val="24"/>
          <w:szCs w:val="24"/>
          <w:lang w:eastAsia="es-AR"/>
        </w:rPr>
        <w:t>STATUS DE CONEXIONES DE LOS MIEMBROS DEL IXP</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Vargas de Ciudad Internet, en forma extraoficial expresa la voluntad de no conectarse al IPX-UAQ después de haber completado todos los trámites </w:t>
      </w:r>
      <w:r>
        <w:rPr>
          <w:rFonts w:eastAsia="Times New Roman" w:cs="Times New Roman" w:ascii="Times New Roman" w:hAnsi="Times New Roman"/>
          <w:b/>
          <w:bCs/>
          <w:sz w:val="24"/>
          <w:szCs w:val="24"/>
          <w:lang w:eastAsia="es-AR"/>
        </w:rPr>
        <w:t>administrativos</w:t>
      </w:r>
      <w:r>
        <w:rPr>
          <w:rFonts w:eastAsia="Times New Roman" w:cs="Times New Roman" w:ascii="Times New Roman" w:hAnsi="Times New Roman"/>
          <w:b/>
          <w:bCs/>
          <w:sz w:val="24"/>
          <w:szCs w:val="24"/>
          <w:lang w:eastAsia="es-AR"/>
        </w:rPr>
        <w:t>, motivo por el cual se confeccionaron las facturas correspondientes a la cuota de ingreso y fondo de reserva, hecho que causa un problema administrativo. Se informará a Vargas la decisión de esperar 30 días, de lo contrario se dará de baja a la solicitud y no podrá volver a solicitar el ingreso al IXP-UAQ.</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Se acuerda incrementar en un 50% respecto de los valores anteriores para los miembros especiales.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Quedando los valores de la siguiente manera:</w:t>
      </w:r>
    </w:p>
    <w:p>
      <w:pPr>
        <w:pStyle w:val="Normal"/>
        <w:spacing w:lineRule="auto" w:line="240" w:before="0" w:after="0"/>
        <w:rPr/>
      </w:pPr>
      <w:r>
        <w:rPr>
          <w:rFonts w:eastAsia="Times New Roman" w:cs="Times New Roman" w:ascii="Times New Roman" w:hAnsi="Times New Roman"/>
          <w:b/>
          <w:bCs/>
          <w:sz w:val="24"/>
          <w:szCs w:val="24"/>
          <w:lang w:eastAsia="es-AR"/>
        </w:rPr>
        <w:t>100 Mbps  $84.000,-</w:t>
      </w:r>
    </w:p>
    <w:p>
      <w:pPr>
        <w:pStyle w:val="Normal"/>
        <w:spacing w:lineRule="auto" w:line="240" w:before="0" w:after="0"/>
        <w:rPr/>
      </w:pPr>
      <w:r>
        <w:rPr>
          <w:rFonts w:eastAsia="Times New Roman" w:cs="Times New Roman" w:ascii="Times New Roman" w:hAnsi="Times New Roman"/>
          <w:b/>
          <w:bCs/>
          <w:sz w:val="24"/>
          <w:szCs w:val="24"/>
          <w:lang w:eastAsia="es-AR"/>
        </w:rPr>
        <w:t>1 Gbps     $252.000,-</w:t>
      </w:r>
    </w:p>
    <w:p>
      <w:pPr>
        <w:pStyle w:val="Normal"/>
        <w:spacing w:lineRule="auto" w:line="240" w:before="0" w:after="0"/>
        <w:rPr/>
      </w:pPr>
      <w:r>
        <w:rPr>
          <w:rFonts w:eastAsia="Times New Roman" w:cs="Times New Roman" w:ascii="Times New Roman" w:hAnsi="Times New Roman"/>
          <w:b/>
          <w:bCs/>
          <w:sz w:val="24"/>
          <w:szCs w:val="24"/>
          <w:lang w:eastAsia="es-AR"/>
        </w:rPr>
        <w:t>2 Gbps    $378.000,-</w:t>
      </w:r>
    </w:p>
    <w:p>
      <w:pPr>
        <w:pStyle w:val="Normal"/>
        <w:spacing w:lineRule="auto" w:line="240" w:before="0" w:after="0"/>
        <w:rPr/>
      </w:pPr>
      <w:r>
        <w:rPr>
          <w:rFonts w:eastAsia="Times New Roman" w:cs="Times New Roman" w:ascii="Times New Roman" w:hAnsi="Times New Roman"/>
          <w:b/>
          <w:bCs/>
          <w:sz w:val="24"/>
          <w:szCs w:val="24"/>
          <w:lang w:eastAsia="es-AR"/>
        </w:rPr>
        <w:t>4 Gbps    $630.000,-</w:t>
      </w:r>
    </w:p>
    <w:p>
      <w:pPr>
        <w:pStyle w:val="Normal"/>
        <w:spacing w:lineRule="auto" w:line="240" w:before="0" w:after="0"/>
        <w:rPr/>
      </w:pPr>
      <w:r>
        <w:rPr>
          <w:rFonts w:eastAsia="Times New Roman" w:cs="Times New Roman" w:ascii="Times New Roman" w:hAnsi="Times New Roman"/>
          <w:b/>
          <w:bCs/>
          <w:sz w:val="24"/>
          <w:szCs w:val="24"/>
          <w:lang w:eastAsia="es-AR"/>
        </w:rPr>
        <w:t>10 Gbps  $840.000.-</w:t>
      </w:r>
    </w:p>
    <w:p>
      <w:pPr>
        <w:pStyle w:val="Normal"/>
        <w:spacing w:lineRule="auto" w:line="240" w:before="0" w:after="0"/>
        <w:rPr>
          <w:rFonts w:ascii="Times New Roman" w:hAnsi="Times New Roman" w:eastAsia="Times New Roman" w:cs="Times New Roman"/>
          <w:b/>
          <w:b/>
          <w:bCs/>
          <w:sz w:val="24"/>
          <w:szCs w:val="24"/>
          <w:lang w:eastAsia="es-AR"/>
        </w:rPr>
      </w:pPr>
      <w:r>
        <w:rPr/>
      </w:r>
    </w:p>
    <w:p>
      <w:pPr>
        <w:pStyle w:val="Normal"/>
        <w:spacing w:lineRule="auto" w:line="240" w:before="0" w:after="0"/>
        <w:rPr/>
      </w:pPr>
      <w:r>
        <w:rPr>
          <w:rFonts w:eastAsia="Times New Roman" w:cs="Times New Roman" w:ascii="Times New Roman" w:hAnsi="Times New Roman"/>
          <w:b/>
          <w:bCs/>
          <w:sz w:val="24"/>
          <w:szCs w:val="24"/>
          <w:lang w:eastAsia="es-AR"/>
        </w:rPr>
        <w:t>Para el caso del miembro Universidad Nacional de San Juan, se bonifica esta cuota por la ocupación del espacio físico del IXP-UAQ.</w:t>
      </w:r>
    </w:p>
    <w:p>
      <w:pPr>
        <w:pStyle w:val="Normal"/>
        <w:spacing w:lineRule="auto" w:line="240" w:beforeAutospacing="1" w:afterAutospacing="1"/>
        <w:rPr>
          <w:rFonts w:ascii="Times New Roman" w:hAnsi="Times New Roman" w:eastAsia="Times New Roman" w:cs="Times New Roman"/>
          <w:sz w:val="24"/>
          <w:szCs w:val="24"/>
          <w:lang w:eastAsia="es-AR"/>
        </w:rPr>
      </w:pPr>
      <w:bookmarkStart w:id="0" w:name="_GoBack"/>
      <w:bookmarkEnd w:id="0"/>
      <w:r>
        <w:rPr>
          <w:rFonts w:eastAsia="Times New Roman" w:cs="Times New Roman" w:ascii="Times New Roman" w:hAnsi="Times New Roman"/>
          <w:b/>
          <w:bCs/>
          <w:sz w:val="24"/>
          <w:szCs w:val="24"/>
          <w:lang w:eastAsia="es-AR"/>
        </w:rPr>
        <w:t xml:space="preserve">6- </w:t>
      </w:r>
      <w:r>
        <w:rPr>
          <w:rFonts w:eastAsia="Times New Roman" w:cs="Times New Roman" w:ascii="Times New Roman" w:hAnsi="Times New Roman"/>
          <w:sz w:val="24"/>
          <w:szCs w:val="24"/>
          <w:lang w:eastAsia="es-AR"/>
        </w:rPr>
        <w:t>ALTAS, BAJAS Y MODIFICACIONES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Sin Novedades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Autospacing="1" w:afterAutospacing="1"/>
        <w:ind w:left="720" w:hanging="0"/>
        <w:contextualSpacing/>
        <w:rPr/>
      </w:pPr>
      <w:r>
        <w:rPr>
          <w:rFonts w:eastAsia="Times New Roman" w:cs="Times New Roman" w:ascii="Times New Roman" w:hAnsi="Times New Roman"/>
          <w:sz w:val="24"/>
          <w:szCs w:val="24"/>
          <w:lang w:eastAsia="es-AR"/>
        </w:rPr>
        <w:t xml:space="preserve">FECHA DE PRÓXIMA REUNIÓN: </w:t>
      </w:r>
      <w:r>
        <w:rPr>
          <w:rFonts w:eastAsia="Times New Roman" w:cs="Times New Roman" w:ascii="Times New Roman" w:hAnsi="Times New Roman"/>
          <w:b/>
          <w:sz w:val="24"/>
          <w:szCs w:val="24"/>
          <w:lang w:eastAsia="es-AR"/>
        </w:rPr>
        <w:t xml:space="preserve"> </w:t>
      </w:r>
      <w:r>
        <w:rPr>
          <w:rFonts w:eastAsia="Times New Roman" w:cs="Times New Roman" w:ascii="Times New Roman" w:hAnsi="Times New Roman"/>
          <w:b/>
          <w:sz w:val="24"/>
          <w:szCs w:val="24"/>
          <w:lang w:eastAsia="es-AR"/>
        </w:rPr>
        <w:t>13</w:t>
      </w:r>
      <w:r>
        <w:rPr>
          <w:rFonts w:eastAsia="Times New Roman" w:cs="Times New Roman" w:ascii="Times New Roman" w:hAnsi="Times New Roman"/>
          <w:b/>
          <w:sz w:val="24"/>
          <w:szCs w:val="24"/>
          <w:lang w:eastAsia="es-AR"/>
        </w:rPr>
        <w:t xml:space="preserve"> de </w:t>
      </w:r>
      <w:r>
        <w:rPr>
          <w:rFonts w:eastAsia="Times New Roman" w:cs="Times New Roman" w:ascii="Times New Roman" w:hAnsi="Times New Roman"/>
          <w:b/>
          <w:sz w:val="24"/>
          <w:szCs w:val="24"/>
          <w:lang w:eastAsia="es-AR"/>
        </w:rPr>
        <w:t>febrero</w:t>
      </w:r>
      <w:r>
        <w:rPr>
          <w:rFonts w:eastAsia="Times New Roman" w:cs="Times New Roman" w:ascii="Times New Roman" w:hAnsi="Times New Roman"/>
          <w:b/>
          <w:sz w:val="24"/>
          <w:szCs w:val="24"/>
          <w:lang w:eastAsia="es-AR"/>
        </w:rPr>
        <w:t xml:space="preserve"> de 20</w:t>
      </w:r>
      <w:r>
        <w:rPr>
          <w:rFonts w:eastAsia="Times New Roman" w:cs="Times New Roman" w:ascii="Times New Roman" w:hAnsi="Times New Roman"/>
          <w:b/>
          <w:sz w:val="24"/>
          <w:szCs w:val="24"/>
          <w:lang w:eastAsia="es-AR"/>
        </w:rPr>
        <w:t>20</w:t>
      </w:r>
      <w:r>
        <w:rPr>
          <w:rFonts w:eastAsia="Times New Roman" w:cs="Times New Roman" w:ascii="Times New Roman" w:hAnsi="Times New Roman"/>
          <w:sz w:val="24"/>
          <w:szCs w:val="24"/>
          <w:lang w:eastAsia="es-AR"/>
        </w:rPr>
        <w:t>.</w:t>
      </w:r>
      <w:r>
        <w:rPr>
          <w:rFonts w:eastAsia="Times New Roman" w:cs="Times New Roman" w:ascii="Times New Roman" w:hAnsi="Times New Roman"/>
          <w:b/>
          <w:bCs/>
          <w:sz w:val="24"/>
          <w:szCs w:val="24"/>
          <w:lang w:eastAsia="es-AR"/>
        </w:rPr>
        <w:t> a las 9:30</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Autospacing="1" w:afterAutospacing="1"/>
        <w:rPr/>
      </w:pPr>
      <w:r>
        <w:rPr>
          <w:rFonts w:eastAsia="Times New Roman" w:cs="Times New Roman" w:ascii="Times New Roman" w:hAnsi="Times New Roman"/>
          <w:sz w:val="24"/>
          <w:szCs w:val="24"/>
          <w:lang w:eastAsia="es-AR"/>
        </w:rPr>
        <w:t>Se comentó la reunión llevada a cabo en San Juan por parte de la empresa ARSAT, con la presencia de su Presidente. En la misma se indicaron que los precios del Mbps de Internet permanecerán invariable en pesos hasta junio de 2020, sin importar la cantidad de Mbps contratados. Lo cual hace muy previsible los próximos meses del servicio. Además se presentó un nuevo producto denominado TREBOL donde se ofrece el acceso a los cuatro caches más importante a un precio muy conveniente.</w:t>
      </w:r>
    </w:p>
    <w:p>
      <w:pPr>
        <w:pStyle w:val="Normal"/>
        <w:spacing w:lineRule="auto" w:line="240" w:beforeAutospacing="1" w:afterAutospacing="1"/>
        <w:rPr/>
      </w:pPr>
      <w:r>
        <w:rPr>
          <w:rFonts w:eastAsia="Times New Roman" w:cs="Times New Roman" w:ascii="Times New Roman" w:hAnsi="Times New Roman"/>
          <w:sz w:val="24"/>
          <w:szCs w:val="24"/>
          <w:lang w:eastAsia="es-AR"/>
        </w:rPr>
        <w:t>Debido a esto y la oferta de Century Link (U$S3 el Mbps) se solicita a CLARO que revea el costo del transporte porque resulta difícil incentivar nuevos ingresos al IXP.</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sinformatoCar" w:customStyle="1">
    <w:name w:val="Texto sin formato Car"/>
    <w:basedOn w:val="DefaultParagraphFont"/>
    <w:link w:val="Textosinformato"/>
    <w:uiPriority w:val="99"/>
    <w:semiHidden/>
    <w:qFormat/>
    <w:rsid w:val="00f236be"/>
    <w:rPr>
      <w:rFonts w:ascii="Times New Roman" w:hAnsi="Times New Roman" w:eastAsia="Times New Roman" w:cs="Times New Roman"/>
      <w:sz w:val="24"/>
      <w:szCs w:val="24"/>
      <w:lang w:eastAsia="es-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Times New Roman" w:hAnsi="Times New Roman" w:eastAsia="Times New Roman" w:cs="Times New Roman"/>
      <w:color w:val="0000FF"/>
      <w:sz w:val="24"/>
      <w:szCs w:val="24"/>
      <w:u w:val="single"/>
      <w:lang w:eastAsia="es-AR"/>
    </w:rPr>
  </w:style>
  <w:style w:type="character" w:styleId="EnlacedeInternet">
    <w:name w:val="Enlace de Internet"/>
    <w:rPr>
      <w:color w:val="000080"/>
      <w:u w:val="single"/>
      <w:lang w:val="zxx" w:eastAsia="zxx" w:bidi="zxx"/>
    </w:rPr>
  </w:style>
  <w:style w:type="character" w:styleId="ListLabel17">
    <w:name w:val="ListLabel 17"/>
    <w:qFormat/>
    <w:rPr>
      <w:rFonts w:ascii="Times New Roman" w:hAnsi="Times New Roman" w:eastAsia="Times New Roman" w:cs="Times New Roman"/>
      <w:color w:val="0000FF"/>
      <w:sz w:val="24"/>
      <w:szCs w:val="24"/>
      <w:u w:val="single"/>
      <w:lang w:eastAsia="es-AR"/>
    </w:rPr>
  </w:style>
  <w:style w:type="character" w:styleId="ListLabel18">
    <w:name w:val="ListLabel 18"/>
    <w:qFormat/>
    <w:rPr>
      <w:rFonts w:ascii="Times New Roman" w:hAnsi="Times New Roman" w:eastAsia="Times New Roman" w:cs="Times New Roman"/>
      <w:color w:val="0000FF"/>
      <w:sz w:val="24"/>
      <w:szCs w:val="24"/>
      <w:u w:val="single"/>
      <w:lang w:eastAsia="es-AR"/>
    </w:rPr>
  </w:style>
  <w:style w:type="character" w:styleId="ListLabel19">
    <w:name w:val="ListLabel 19"/>
    <w:qFormat/>
    <w:rPr>
      <w:rFonts w:ascii="Times New Roman" w:hAnsi="Times New Roman" w:eastAsia="Times New Roman" w:cs="Times New Roman"/>
      <w:color w:val="0000FF"/>
      <w:sz w:val="24"/>
      <w:szCs w:val="24"/>
      <w:u w:val="single"/>
      <w:lang w:eastAsia="es-AR"/>
    </w:rPr>
  </w:style>
  <w:style w:type="character" w:styleId="ListLabel20">
    <w:name w:val="ListLabel 20"/>
    <w:qFormat/>
    <w:rPr>
      <w:rFonts w:ascii="Times New Roman" w:hAnsi="Times New Roman" w:eastAsia="Times New Roman" w:cs="Times New Roman"/>
      <w:color w:val="0000FF"/>
      <w:sz w:val="24"/>
      <w:szCs w:val="24"/>
      <w:u w:val="single"/>
      <w:lang w:eastAsia="es-AR"/>
    </w:rPr>
  </w:style>
  <w:style w:type="character" w:styleId="ListLabel21">
    <w:name w:val="ListLabel 21"/>
    <w:qFormat/>
    <w:rPr>
      <w:rFonts w:ascii="Times New Roman" w:hAnsi="Times New Roman" w:eastAsia="Times New Roman" w:cs="Times New Roman"/>
      <w:color w:val="0000FF"/>
      <w:sz w:val="24"/>
      <w:szCs w:val="24"/>
      <w:u w:val="single"/>
      <w:lang w:eastAsia="es-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234f45"/>
    <w:pPr>
      <w:spacing w:before="0" w:after="160"/>
      <w:ind w:left="720" w:hanging="0"/>
      <w:contextualSpacing/>
    </w:pPr>
    <w:rPr/>
  </w:style>
  <w:style w:type="paragraph" w:styleId="PlainText">
    <w:name w:val="Plain Text"/>
    <w:basedOn w:val="Normal"/>
    <w:link w:val="TextosinformatoCar"/>
    <w:uiPriority w:val="99"/>
    <w:semiHidden/>
    <w:unhideWhenUsed/>
    <w:qFormat/>
    <w:rsid w:val="00f236be"/>
    <w:pPr>
      <w:spacing w:lineRule="auto" w:line="240" w:beforeAutospacing="1" w:afterAutospacing="1"/>
    </w:pPr>
    <w:rPr>
      <w:rFonts w:ascii="Times New Roman" w:hAnsi="Times New Roman" w:eastAsia="Times New Roman" w:cs="Times New Roman"/>
      <w:sz w:val="24"/>
      <w:szCs w:val="24"/>
      <w:lang w:eastAsia="es-A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BBAC-6AA2-4BE9-B82F-B8034EA7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Application>LibreOffice/6.0.7.3$Linux_X86_64 LibreOffice_project/00m0$Build-3</Application>
  <Pages>3</Pages>
  <Words>522</Words>
  <Characters>2667</Characters>
  <CharactersWithSpaces>3223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2019-07-30T13:40:00Z</dcterms:created>
  <dc:creator>Miguel Morandi</dc:creator>
  <dc:description/>
  <dc:language>es-AR</dc:language>
  <cp:lastModifiedBy/>
  <dcterms:modified xsi:type="dcterms:W3CDTF">2019-12-11T10:21:17Z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