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TRES LESTRAS QUE IDENTIFICAN AL IXP/NAP UAQ</w:t>
      </w:r>
    </w:p>
    <w:p>
      <w:pPr>
        <w:pStyle w:val="Normal"/>
        <w:spacing w:lineRule="auto" w:line="240" w:beforeAutospacing="1" w:afterAutospacing="1"/>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13 de febrero de 2020</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0"/>
          <w:szCs w:val="20"/>
          <w:lang w:eastAsia="es-AR"/>
        </w:rPr>
        <w:t>PRESENTES EN LA REUNIÓN:</w:t>
      </w:r>
    </w:p>
    <w:tbl>
      <w:tblPr>
        <w:tblW w:w="7705" w:type="dxa"/>
        <w:jc w:val="left"/>
        <w:tblInd w:w="-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60" w:type="dxa"/>
          <w:bottom w:w="0" w:type="dxa"/>
          <w:right w:w="70" w:type="dxa"/>
        </w:tblCellMar>
        <w:tblLook w:noVBand="1" w:val="04a0" w:noHBand="0" w:lastColumn="0" w:firstColumn="1" w:lastRow="0" w:firstRow="1"/>
      </w:tblPr>
      <w:tblGrid>
        <w:gridCol w:w="1289"/>
        <w:gridCol w:w="1319"/>
        <w:gridCol w:w="4082"/>
        <w:gridCol w:w="1014"/>
      </w:tblGrid>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NOMBRE</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APELLIDO</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eastAsia="es-ES"/>
              </w:rPr>
              <w:t xml:space="preserve">RAZÓN SOCIAL A LA QUE REPRESENTA </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David</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Vega </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I-TIC </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Juan C.</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Marquez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Iván</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Gutierrez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INTERSAT</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Alejandro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Cuadra</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Técnico IXP</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Miguel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Morandi</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color w:val="000000"/>
                <w:sz w:val="24"/>
                <w:szCs w:val="24"/>
                <w:lang w:val="en-US" w:eastAsia="es-ES"/>
              </w:rPr>
              <w:t>UNSJ</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Gastón</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Pechieu</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BIP</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Raúl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Cortez</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ZETRO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Ariel</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bookmarkStart w:id="0" w:name="__DdeLink__265_3581157589"/>
            <w:r>
              <w:rPr>
                <w:rFonts w:eastAsia="Times New Roman" w:cs="Times New Roman" w:ascii="Times New Roman" w:hAnsi="Times New Roman"/>
                <w:sz w:val="24"/>
                <w:szCs w:val="24"/>
                <w:lang w:eastAsia="es-AR"/>
              </w:rPr>
              <w:t>Passarelli</w:t>
            </w:r>
            <w:bookmarkEnd w:id="0"/>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rFonts w:eastAsia="Times New Roman" w:cs="Times New Roman" w:ascii="Times New Roman" w:hAnsi="Times New Roman"/>
                <w:sz w:val="24"/>
                <w:szCs w:val="24"/>
                <w:lang w:eastAsia="es-AR"/>
              </w:rPr>
              <w:t>CLARO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Ricardo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Goldberg</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XF</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Víctor</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Romero</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CLARO</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Facundo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Caselles</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On Power</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Juan P.</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Romera</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Netropolys</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Leonardo</w:t>
            </w:r>
          </w:p>
        </w:tc>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Bordrón</w:t>
            </w:r>
          </w:p>
        </w:tc>
        <w:tc>
          <w:tcPr>
            <w:tcW w:w="408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pPr>
            <w:r>
              <w:rPr/>
              <w:t>On-Power</w:t>
            </w:r>
          </w:p>
        </w:tc>
        <w:tc>
          <w:tcPr>
            <w:tcW w:w="10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bottom"/>
          </w:tcPr>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 </w:t>
      </w: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ind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Autospacing="1" w:afterAutospacing="1"/>
        <w:rPr/>
      </w:pPr>
      <w:r>
        <w:rPr>
          <w:rFonts w:eastAsia="Times New Roman" w:cs="Times New Roman" w:ascii="Times New Roman" w:hAnsi="Times New Roman"/>
          <w:sz w:val="16"/>
          <w:szCs w:val="16"/>
          <w:lang w:eastAsia="es-AR"/>
        </w:rPr>
        <w:t> </w:t>
      </w:r>
      <w:r>
        <w:rPr>
          <w:rFonts w:eastAsia="Times New Roman" w:cs="Times New Roman" w:ascii="Times New Roman" w:hAnsi="Times New Roman"/>
          <w:sz w:val="16"/>
          <w:szCs w:val="16"/>
          <w:lang w:eastAsia="es-AR"/>
        </w:rPr>
        <w:tab/>
      </w:r>
      <w:hyperlink r:id="rId2" w:tgtFrame="Este enlace externo se abrirá en una nueva ventana">
        <w:r>
          <w:rPr>
            <w:rStyle w:val="ListLabel16"/>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11 de diciembre de 2019 </w:t>
      </w:r>
    </w:p>
    <w:p>
      <w:pPr>
        <w:pStyle w:val="Normal"/>
        <w:spacing w:lineRule="auto" w:line="240" w:beforeAutospacing="1" w:afterAutospacing="1"/>
        <w:ind w:hanging="360"/>
        <w:rPr/>
      </w:pPr>
      <w:r>
        <w:rPr>
          <w:rFonts w:eastAsia="Times New Roman" w:cs="Times New Roman" w:ascii="Times New Roman" w:hAnsi="Times New Roman"/>
          <w:sz w:val="24"/>
          <w:szCs w:val="24"/>
          <w:lang w:eastAsia="es-AR"/>
        </w:rPr>
        <w:t>2.       Caja, se cuenta con el siguiente detalle:</w:t>
      </w:r>
    </w:p>
    <w:p>
      <w:pPr>
        <w:pStyle w:val="Normal"/>
        <w:spacing w:lineRule="auto" w:line="240" w:beforeAutospacing="1" w:afterAutospacing="1"/>
        <w:ind w:left="720" w:hanging="0"/>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ind w:hanging="0"/>
        <w:contextualSpacing/>
        <w:rPr/>
      </w:pPr>
      <w:r>
        <w:rPr>
          <w:rFonts w:eastAsia="Times New Roman" w:cs="Times New Roman" w:ascii="Times New Roman" w:hAnsi="Times New Roman"/>
          <w:sz w:val="24"/>
          <w:szCs w:val="24"/>
          <w:lang w:eastAsia="es-AR"/>
        </w:rPr>
        <w:t xml:space="preserve">Caja: $ </w:t>
      </w:r>
      <w:r>
        <w:rPr>
          <w:rFonts w:eastAsia="Times New Roman" w:cs="Times New Roman" w:ascii="Times New Roman" w:hAnsi="Times New Roman"/>
          <w:color w:val="CE181E"/>
          <w:sz w:val="24"/>
          <w:szCs w:val="24"/>
          <w:lang w:eastAsia="es-AR"/>
        </w:rPr>
        <w:t>-63300,-</w:t>
      </w:r>
    </w:p>
    <w:p>
      <w:pPr>
        <w:pStyle w:val="Normal"/>
        <w:spacing w:lineRule="auto" w:line="240" w:beforeAutospacing="1" w:afterAutospacing="1"/>
        <w:ind w:hanging="0"/>
        <w:contextualSpacing/>
        <w:rPr/>
      </w:pPr>
      <w:r>
        <w:rPr>
          <w:rFonts w:eastAsia="Times New Roman" w:cs="Times New Roman" w:ascii="Times New Roman" w:hAnsi="Times New Roman"/>
          <w:sz w:val="24"/>
          <w:szCs w:val="24"/>
          <w:lang w:eastAsia="es-AR"/>
        </w:rPr>
        <w:t>Fondo de Reserva: Total: 57.660,-   En dólares: U$S6.000,-</w:t>
      </w:r>
    </w:p>
    <w:p>
      <w:pPr>
        <w:pStyle w:val="Normal"/>
        <w:spacing w:lineRule="auto" w:line="240" w:beforeAutospacing="1" w:afterAutospacing="1"/>
        <w:contextualSpacing/>
        <w:rPr/>
      </w:pPr>
      <w:r>
        <w:rPr>
          <w:rFonts w:eastAsia="Times New Roman" w:cs="Times New Roman" w:ascii="Times New Roman" w:hAnsi="Times New Roman"/>
          <w:sz w:val="24"/>
          <w:szCs w:val="24"/>
          <w:lang w:eastAsia="es-AR"/>
        </w:rPr>
        <w:t>Deuda: $268.000,-</w:t>
      </w:r>
    </w:p>
    <w:p>
      <w:pPr>
        <w:pStyle w:val="Normal"/>
        <w:spacing w:lineRule="auto" w:line="240" w:beforeAutospacing="1" w:afterAutospacing="1"/>
        <w:contextualSpacing/>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Autospacing="1" w:afterAutospacing="1"/>
        <w:rPr/>
      </w:pPr>
      <w:r>
        <w:rPr>
          <w:rFonts w:eastAsia="Times New Roman" w:cs="Times New Roman" w:ascii="Times New Roman" w:hAnsi="Times New Roman"/>
          <w:b w:val="false"/>
          <w:bCs w:val="false"/>
          <w:color w:val="auto"/>
          <w:kern w:val="0"/>
          <w:sz w:val="24"/>
          <w:szCs w:val="24"/>
          <w:lang w:val="es-AR" w:eastAsia="es-AR" w:bidi="ar-SA"/>
        </w:rPr>
        <w:t>Se encarga al responsable técnico de solicitar presupuesto por un switch Huawei que cumpla con los requerimientos del NAP y esté dentro del presupuesto disponible en el fondo de reserva.</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Sin Novedades</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Se solicita al miembro CLARO la posibilidad de eliminar la table de precios de y fijar un monto fijo de U$S2,50, independientemente del tráfico global del NAP, motiva este pedido el hecho que llevamos más de dos años de funcionamiento y no logramos sumar miembros al IXP con la actual política de precios y las contantes modificaciones en las condiciones que imponen la competencia en la provincia. Ariel Passarelli toma nota de la solicitud y traerá una respuesta en la próxima reunión.</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 xml:space="preserve">Se hace notar una disminución notable en el trafico de ancho de banda en el trasporte, lo que provocaría un incremento en la facturación del trasporte hacia los miembros que están traficando. Se solicita a CLARO la posibilidad de mantener la tarifa por unos meses a fin de determinar el motivo de la baja de tráfico total. </w:t>
      </w:r>
      <w:r>
        <w:rPr>
          <w:rFonts w:eastAsia="Times New Roman" w:cs="Times New Roman" w:ascii="Times New Roman" w:hAnsi="Times New Roman"/>
          <w:b/>
          <w:bCs/>
          <w:sz w:val="24"/>
          <w:szCs w:val="24"/>
          <w:lang w:eastAsia="es-AR"/>
        </w:rPr>
        <w:t>Tal d</w:t>
      </w:r>
      <w:r>
        <w:rPr>
          <w:rFonts w:eastAsia="Times New Roman" w:cs="Times New Roman" w:ascii="Times New Roman" w:hAnsi="Times New Roman"/>
          <w:b/>
          <w:bCs/>
          <w:sz w:val="24"/>
          <w:szCs w:val="24"/>
          <w:lang w:eastAsia="es-AR"/>
        </w:rPr>
        <w:t xml:space="preserve">isminución de Tráfico detectado </w:t>
      </w:r>
      <w:r>
        <w:rPr>
          <w:rFonts w:eastAsia="Times New Roman" w:cs="Times New Roman" w:ascii="Times New Roman" w:hAnsi="Times New Roman"/>
          <w:b/>
          <w:bCs/>
          <w:sz w:val="24"/>
          <w:szCs w:val="24"/>
          <w:lang w:eastAsia="es-AR"/>
        </w:rPr>
        <w:t>fue por</w:t>
      </w:r>
      <w:r>
        <w:rPr>
          <w:rFonts w:eastAsia="Times New Roman" w:cs="Times New Roman" w:ascii="Times New Roman" w:hAnsi="Times New Roman"/>
          <w:b/>
          <w:bCs/>
          <w:sz w:val="24"/>
          <w:szCs w:val="24"/>
          <w:lang w:eastAsia="es-AR"/>
        </w:rPr>
        <w:t xml:space="preserve"> parte de Netropolys, quien se compromete a tratar el tema en la empresa para dar una respuesta del motivo y restablecimiento del mismo, teniendo en cuenta el impacto que genera en el conjunto.</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De ser necesario</w:t>
      </w:r>
      <w:r>
        <w:rPr>
          <w:rFonts w:eastAsia="Times New Roman" w:cs="Times New Roman" w:ascii="Times New Roman" w:hAnsi="Times New Roman"/>
          <w:b/>
          <w:bCs/>
          <w:sz w:val="24"/>
          <w:szCs w:val="24"/>
          <w:lang w:eastAsia="es-AR"/>
        </w:rPr>
        <w:t>, haríamos un tratamiento específico en reunión adicional a las que tenemos con CABASE. En la misma, podríamos invitar a Gobierno para que nos de una visibilidad de su situación de posible incorporación dentro del 2020. También tratar el estado del IXP en cuanto a las preocupaciones que presentaron Gastón P y David V acerca de la posible reducción de tráfico si es que no logramos mantener o mejorar el nivel de precios actual.</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Tratamiento de Deuda con GPS: El IXP realizará gestión inicial buscando una respuesta de compromiso de pago. Si no hay respuesta, CABASE realizará la gestión</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 xml:space="preserve">Mantenimiento Preventivo de la torre: Se revisará con </w:t>
      </w:r>
      <w:r>
        <w:rPr>
          <w:rFonts w:eastAsia="Times New Roman" w:cs="Times New Roman" w:ascii="Times New Roman" w:hAnsi="Times New Roman"/>
          <w:b/>
          <w:bCs/>
          <w:sz w:val="24"/>
          <w:szCs w:val="24"/>
          <w:lang w:eastAsia="es-AR"/>
        </w:rPr>
        <w:t>t</w:t>
      </w:r>
      <w:r>
        <w:rPr>
          <w:rFonts w:eastAsia="Times New Roman" w:cs="Times New Roman" w:ascii="Times New Roman" w:hAnsi="Times New Roman"/>
          <w:b/>
          <w:bCs/>
          <w:sz w:val="24"/>
          <w:szCs w:val="24"/>
          <w:lang w:eastAsia="es-AR"/>
        </w:rPr>
        <w:t xml:space="preserve">orrista para determinar costos, el mismo que será asumido por quienes la usan del IXP </w:t>
      </w:r>
    </w:p>
    <w:p>
      <w:pPr>
        <w:pStyle w:val="Normal"/>
        <w:spacing w:lineRule="auto" w:line="240" w:beforeAutospacing="1" w:afterAutospacing="1"/>
        <w:rPr/>
      </w:pPr>
      <w:bookmarkStart w:id="1" w:name="_GoBack"/>
      <w:bookmarkEnd w:id="1"/>
      <w:r>
        <w:rPr>
          <w:rFonts w:eastAsia="Times New Roman" w:cs="Times New Roman" w:ascii="Times New Roman" w:hAnsi="Times New Roman"/>
          <w:b/>
          <w:bCs/>
          <w:sz w:val="24"/>
          <w:szCs w:val="24"/>
          <w:lang w:eastAsia="es-AR"/>
        </w:rPr>
        <w:t xml:space="preserve">6- </w:t>
      </w:r>
      <w:r>
        <w:rPr>
          <w:rFonts w:eastAsia="Times New Roman" w:cs="Times New Roman" w:ascii="Times New Roman" w:hAnsi="Times New Roman"/>
          <w:sz w:val="24"/>
          <w:szCs w:val="24"/>
          <w:lang w:eastAsia="es-AR"/>
        </w:rPr>
        <w:t>ALTAS, BAJAS Y MODIFICACIONES</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Se presentaron las modificaciones de los proyectos técnicos de: Intersat, I-TIC y ZETRO, los cuales fueron aprobados.</w:t>
      </w:r>
    </w:p>
    <w:p>
      <w:pPr>
        <w:pStyle w:val="Normal"/>
        <w:spacing w:lineRule="auto" w:line="240" w:beforeAutospacing="1" w:afterAutospacing="1"/>
        <w:rPr/>
      </w:pPr>
      <w:r>
        <w:rPr>
          <w:rFonts w:eastAsia="Times New Roman" w:cs="Times New Roman" w:ascii="Times New Roman" w:hAnsi="Times New Roman"/>
          <w:b/>
          <w:bCs/>
          <w:sz w:val="24"/>
          <w:szCs w:val="24"/>
          <w:lang w:eastAsia="es-AR"/>
        </w:rPr>
        <w:t>Vargas de Ciudad Internet, se consideró la baja definitiva de la solicitud como miembro de IXP-UAQ, lo cual se aprueba por unanimidad.</w:t>
      </w:r>
    </w:p>
    <w:p>
      <w:pPr>
        <w:pStyle w:val="Normal"/>
        <w:spacing w:lineRule="auto" w:line="240" w:beforeAutospacing="1" w:afterAutospacing="1"/>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Autospacing="1" w:afterAutospacing="1"/>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Autospacing="1" w:afterAutospacing="1"/>
        <w:ind w:left="72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12 de marzo, </w:t>
      </w:r>
      <w:r>
        <w:rPr>
          <w:rFonts w:eastAsia="Times New Roman" w:cs="Times New Roman" w:ascii="Times New Roman" w:hAnsi="Times New Roman"/>
          <w:b/>
          <w:bCs/>
          <w:sz w:val="24"/>
          <w:szCs w:val="24"/>
          <w:lang w:eastAsia="es-AR"/>
        </w:rPr>
        <w:t>a las 9:30</w:t>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Autospacing="1" w:afterAutospacing="1"/>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Autospacing="1" w:afterAutospacing="1"/>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TextosinformatoCar" w:customStyle="1">
    <w:name w:val="Texto sin formato Car"/>
    <w:basedOn w:val="DefaultParagraphFont"/>
    <w:link w:val="Textosinformato"/>
    <w:uiPriority w:val="99"/>
    <w:semiHidden/>
    <w:qFormat/>
    <w:rsid w:val="00f236be"/>
    <w:rPr>
      <w:rFonts w:ascii="Times New Roman" w:hAnsi="Times New Roman" w:eastAsia="Times New Roman" w:cs="Times New Roman"/>
      <w:sz w:val="24"/>
      <w:szCs w:val="24"/>
      <w:lang w:eastAsia="es-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eastAsia="Times New Roman" w:cs="Times New Roman"/>
      <w:color w:val="0000FF"/>
      <w:sz w:val="24"/>
      <w:szCs w:val="24"/>
      <w:u w:val="single"/>
      <w:lang w:eastAsia="es-AR"/>
    </w:rPr>
  </w:style>
  <w:style w:type="character" w:styleId="EnlacedeInternet">
    <w:name w:val="Enlace de Internet"/>
    <w:rPr>
      <w:color w:val="000080"/>
      <w:u w:val="single"/>
      <w:lang w:val="zxx" w:eastAsia="zxx" w:bidi="zxx"/>
    </w:rPr>
  </w:style>
  <w:style w:type="character" w:styleId="ListLabel17">
    <w:name w:val="ListLabel 17"/>
    <w:qFormat/>
    <w:rPr>
      <w:rFonts w:ascii="Times New Roman" w:hAnsi="Times New Roman" w:eastAsia="Times New Roman" w:cs="Times New Roman"/>
      <w:color w:val="0000FF"/>
      <w:sz w:val="24"/>
      <w:szCs w:val="24"/>
      <w:u w:val="single"/>
      <w:lang w:eastAsia="es-AR"/>
    </w:rPr>
  </w:style>
  <w:style w:type="character" w:styleId="ListLabel18">
    <w:name w:val="ListLabel 18"/>
    <w:qFormat/>
    <w:rPr>
      <w:rFonts w:ascii="Times New Roman" w:hAnsi="Times New Roman" w:eastAsia="Times New Roman" w:cs="Times New Roman"/>
      <w:color w:val="0000FF"/>
      <w:sz w:val="24"/>
      <w:szCs w:val="24"/>
      <w:u w:val="single"/>
      <w:lang w:eastAsia="es-AR"/>
    </w:rPr>
  </w:style>
  <w:style w:type="character" w:styleId="ListLabel19">
    <w:name w:val="ListLabel 19"/>
    <w:qFormat/>
    <w:rPr>
      <w:rFonts w:ascii="Times New Roman" w:hAnsi="Times New Roman" w:eastAsia="Times New Roman" w:cs="Times New Roman"/>
      <w:color w:val="0000FF"/>
      <w:sz w:val="24"/>
      <w:szCs w:val="24"/>
      <w:u w:val="single"/>
      <w:lang w:eastAsia="es-AR"/>
    </w:rPr>
  </w:style>
  <w:style w:type="character" w:styleId="ListLabel20">
    <w:name w:val="ListLabel 20"/>
    <w:qFormat/>
    <w:rPr>
      <w:rFonts w:ascii="Times New Roman" w:hAnsi="Times New Roman" w:eastAsia="Times New Roman" w:cs="Times New Roman"/>
      <w:color w:val="0000FF"/>
      <w:sz w:val="24"/>
      <w:szCs w:val="24"/>
      <w:u w:val="single"/>
      <w:lang w:eastAsia="es-AR"/>
    </w:rPr>
  </w:style>
  <w:style w:type="character" w:styleId="ListLabel21">
    <w:name w:val="ListLabel 21"/>
    <w:qFormat/>
    <w:rPr>
      <w:rFonts w:ascii="Times New Roman" w:hAnsi="Times New Roman" w:eastAsia="Times New Roman" w:cs="Times New Roman"/>
      <w:color w:val="0000FF"/>
      <w:sz w:val="24"/>
      <w:szCs w:val="24"/>
      <w:u w:val="single"/>
      <w:lang w:eastAsia="es-AR"/>
    </w:rPr>
  </w:style>
  <w:style w:type="character" w:styleId="ListLabel22">
    <w:name w:val="ListLabel 22"/>
    <w:qFormat/>
    <w:rPr>
      <w:rFonts w:ascii="Times New Roman" w:hAnsi="Times New Roman" w:eastAsia="Times New Roman" w:cs="Times New Roman"/>
      <w:color w:val="0000FF"/>
      <w:sz w:val="24"/>
      <w:szCs w:val="24"/>
      <w:u w:val="single"/>
      <w:lang w:eastAsia="es-AR"/>
    </w:rPr>
  </w:style>
  <w:style w:type="character" w:styleId="ListLabel23">
    <w:name w:val="ListLabel 23"/>
    <w:qFormat/>
    <w:rPr>
      <w:rFonts w:ascii="Times New Roman" w:hAnsi="Times New Roman" w:eastAsia="Times New Roman" w:cs="Times New Roman"/>
      <w:color w:val="0000FF"/>
      <w:sz w:val="24"/>
      <w:szCs w:val="24"/>
      <w:u w:val="single"/>
      <w:lang w:eastAsia="es-AR"/>
    </w:rPr>
  </w:style>
  <w:style w:type="character" w:styleId="ListLabel24">
    <w:name w:val="ListLabel 24"/>
    <w:qFormat/>
    <w:rPr>
      <w:rFonts w:ascii="Times New Roman" w:hAnsi="Times New Roman" w:eastAsia="Times New Roman" w:cs="Times New Roman"/>
      <w:color w:val="0000FF"/>
      <w:sz w:val="24"/>
      <w:szCs w:val="24"/>
      <w:u w:val="single"/>
      <w:lang w:eastAsia="es-AR"/>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234f45"/>
    <w:pPr>
      <w:spacing w:before="0" w:after="160"/>
      <w:ind w:left="720" w:hanging="0"/>
      <w:contextualSpacing/>
    </w:pPr>
    <w:rPr/>
  </w:style>
  <w:style w:type="paragraph" w:styleId="PlainText">
    <w:name w:val="Plain Text"/>
    <w:basedOn w:val="Normal"/>
    <w:link w:val="TextosinformatoCar"/>
    <w:uiPriority w:val="99"/>
    <w:semiHidden/>
    <w:unhideWhenUsed/>
    <w:qFormat/>
    <w:rsid w:val="00f236be"/>
    <w:pPr>
      <w:spacing w:lineRule="auto" w:line="240" w:beforeAutospacing="1" w:afterAutospacing="1"/>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8BBAC-6AA2-4BE9-B82F-B8034EA7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Application>LibreOffice/6.0.7.3$Linux_X86_64 LibreOffice_project/00m0$Build-3</Application>
  <Pages>3</Pages>
  <Words>609</Words>
  <Characters>3097</Characters>
  <CharactersWithSpaces>3741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2020-02-27T08:23:14Z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