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b/>
          <w:bCs/>
          <w:color w:val="002060"/>
          <w:sz w:val="20"/>
          <w:szCs w:val="20"/>
          <w:lang w:eastAsia="es-AR"/>
        </w:rPr>
        <w:t>CTA CONFECCIONADA POR PARTE DEL COORDINADOR TÉCNICO DEL IXP CABASE TITULAR O ALTERNO (EN SU AUSENCIA): Alejandro Cuadra</w:t>
      </w:r>
    </w:p>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b/>
          <w:bCs/>
          <w:sz w:val="20"/>
          <w:szCs w:val="20"/>
          <w:lang w:eastAsia="es-AR"/>
        </w:rPr>
        <w:t xml:space="preserve">DATOS DEL NAP: </w:t>
      </w:r>
      <w:r>
        <w:rPr>
          <w:rFonts w:eastAsia="Times New Roman" w:cs="Times New Roman" w:ascii="Times New Roman" w:hAnsi="Times New Roman"/>
          <w:sz w:val="20"/>
          <w:szCs w:val="20"/>
          <w:lang w:eastAsia="es-AR"/>
        </w:rPr>
        <w:t>SUBCOMISIÓN ADMINISTRADORA DEL IXP/ NAP CABASE REGIONAL San Juan</w:t>
      </w:r>
    </w:p>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0"/>
          <w:szCs w:val="20"/>
          <w:lang w:eastAsia="es-AR"/>
        </w:rPr>
        <w:t>TRES LESTRAS QUE IDENTIFICAN AL IXP/NAP UAQ</w:t>
      </w:r>
    </w:p>
    <w:p>
      <w:pPr>
        <w:pStyle w:val="Normal"/>
        <w:spacing w:lineRule="auto" w:line="240" w:beforeAutospacing="1" w:afterAutospacing="1"/>
        <w:rPr/>
      </w:pPr>
      <w:r>
        <w:rPr>
          <w:rFonts w:eastAsia="Times New Roman" w:cs="Times New Roman" w:ascii="Times New Roman" w:hAnsi="Times New Roman"/>
          <w:b/>
          <w:bCs/>
          <w:sz w:val="20"/>
          <w:szCs w:val="20"/>
          <w:lang w:eastAsia="es-AR"/>
        </w:rPr>
        <w:t xml:space="preserve">DATOS DE LA REUNIÓN: </w:t>
      </w:r>
      <w:r>
        <w:rPr>
          <w:rFonts w:eastAsia="Times New Roman" w:cs="Times New Roman" w:ascii="Times New Roman" w:hAnsi="Times New Roman"/>
          <w:sz w:val="20"/>
          <w:szCs w:val="20"/>
          <w:lang w:eastAsia="es-AR"/>
        </w:rPr>
        <w:t>FECHA: DÍA 02 de abril de 2020</w:t>
      </w:r>
    </w:p>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b/>
          <w:bCs/>
          <w:sz w:val="20"/>
          <w:szCs w:val="20"/>
          <w:lang w:eastAsia="es-AR"/>
        </w:rPr>
        <w:t>PRESENTES EN LA REUNIÓN:</w:t>
      </w:r>
    </w:p>
    <w:tbl>
      <w:tblPr>
        <w:tblW w:w="7613" w:type="dxa"/>
        <w:jc w:val="left"/>
        <w:tblInd w:w="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60" w:type="dxa"/>
          <w:bottom w:w="0" w:type="dxa"/>
          <w:right w:w="70" w:type="dxa"/>
        </w:tblCellMar>
        <w:tblLook w:noVBand="1" w:val="04a0" w:noHBand="0" w:lastColumn="0" w:firstColumn="1" w:lastRow="0" w:firstRow="1"/>
      </w:tblPr>
      <w:tblGrid>
        <w:gridCol w:w="1191"/>
        <w:gridCol w:w="1322"/>
        <w:gridCol w:w="4087"/>
        <w:gridCol w:w="1012"/>
      </w:tblGrid>
      <w:tr>
        <w:trPr>
          <w:trHeight w:val="300" w:hRule="atLeast"/>
        </w:trPr>
        <w:tc>
          <w:tcPr>
            <w:tcW w:w="119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color w:val="000000"/>
                <w:sz w:val="24"/>
                <w:szCs w:val="24"/>
                <w:lang w:val="en-US" w:eastAsia="es-ES"/>
              </w:rPr>
              <w:t>NOMBRE</w:t>
            </w:r>
          </w:p>
        </w:tc>
        <w:tc>
          <w:tcPr>
            <w:tcW w:w="132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color w:val="000000"/>
                <w:sz w:val="24"/>
                <w:szCs w:val="24"/>
                <w:lang w:val="en-US" w:eastAsia="es-ES"/>
              </w:rPr>
              <w:t>APELLIDO</w:t>
            </w:r>
          </w:p>
        </w:tc>
        <w:tc>
          <w:tcPr>
            <w:tcW w:w="4087"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color w:val="000000"/>
                <w:sz w:val="24"/>
                <w:szCs w:val="24"/>
                <w:lang w:eastAsia="es-ES"/>
              </w:rPr>
              <w:t xml:space="preserve">RAZÓN SOCIAL A LA QUE REPRESENTA </w:t>
            </w:r>
          </w:p>
        </w:tc>
        <w:tc>
          <w:tcPr>
            <w:tcW w:w="101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color w:val="000000"/>
                <w:sz w:val="24"/>
                <w:szCs w:val="24"/>
                <w:lang w:val="en-US" w:eastAsia="es-ES"/>
              </w:rPr>
              <w:t xml:space="preserve">CARGO </w:t>
            </w:r>
          </w:p>
        </w:tc>
      </w:tr>
      <w:tr>
        <w:trPr>
          <w:trHeight w:val="300" w:hRule="atLeast"/>
        </w:trPr>
        <w:tc>
          <w:tcPr>
            <w:tcW w:w="119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color w:val="000000"/>
                <w:sz w:val="24"/>
                <w:szCs w:val="24"/>
                <w:lang w:val="en-US" w:eastAsia="es-ES"/>
              </w:rPr>
              <w:t>Hernán</w:t>
            </w:r>
          </w:p>
        </w:tc>
        <w:tc>
          <w:tcPr>
            <w:tcW w:w="132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color w:val="000000"/>
                <w:sz w:val="24"/>
                <w:szCs w:val="24"/>
                <w:lang w:val="en-US" w:eastAsia="es-ES"/>
              </w:rPr>
              <w:t>Seoane</w:t>
            </w:r>
          </w:p>
        </w:tc>
        <w:tc>
          <w:tcPr>
            <w:tcW w:w="4087"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color w:val="000000"/>
                <w:sz w:val="24"/>
                <w:szCs w:val="24"/>
                <w:lang w:val="en-US" w:eastAsia="es-ES"/>
              </w:rPr>
              <w:t>CABASE</w:t>
            </w:r>
          </w:p>
        </w:tc>
        <w:tc>
          <w:tcPr>
            <w:tcW w:w="101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19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sz w:val="24"/>
                <w:szCs w:val="24"/>
                <w:lang w:eastAsia="es-AR"/>
              </w:rPr>
              <w:t>Juan C.</w:t>
            </w:r>
          </w:p>
        </w:tc>
        <w:tc>
          <w:tcPr>
            <w:tcW w:w="132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sz w:val="24"/>
                <w:szCs w:val="24"/>
                <w:lang w:eastAsia="es-AR"/>
              </w:rPr>
              <w:t>Marquez</w:t>
            </w:r>
          </w:p>
        </w:tc>
        <w:tc>
          <w:tcPr>
            <w:tcW w:w="4087"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CABASE</w:t>
            </w:r>
          </w:p>
        </w:tc>
        <w:tc>
          <w:tcPr>
            <w:tcW w:w="101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19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sz w:val="24"/>
                <w:szCs w:val="24"/>
                <w:lang w:eastAsia="es-AR"/>
              </w:rPr>
              <w:t>Iván</w:t>
            </w:r>
          </w:p>
        </w:tc>
        <w:tc>
          <w:tcPr>
            <w:tcW w:w="132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sz w:val="24"/>
                <w:szCs w:val="24"/>
                <w:lang w:eastAsia="es-AR"/>
              </w:rPr>
              <w:t>Gutierrez</w:t>
            </w:r>
          </w:p>
        </w:tc>
        <w:tc>
          <w:tcPr>
            <w:tcW w:w="4087"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sz w:val="24"/>
                <w:szCs w:val="24"/>
                <w:lang w:eastAsia="es-AR"/>
              </w:rPr>
              <w:t>INTERSAT</w:t>
            </w:r>
          </w:p>
        </w:tc>
        <w:tc>
          <w:tcPr>
            <w:tcW w:w="101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19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Alejandro</w:t>
            </w:r>
          </w:p>
        </w:tc>
        <w:tc>
          <w:tcPr>
            <w:tcW w:w="132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Cuadra</w:t>
            </w:r>
          </w:p>
        </w:tc>
        <w:tc>
          <w:tcPr>
            <w:tcW w:w="4087"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Técnico IXP</w:t>
            </w:r>
          </w:p>
        </w:tc>
        <w:tc>
          <w:tcPr>
            <w:tcW w:w="101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19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color w:val="000000"/>
                <w:sz w:val="24"/>
                <w:szCs w:val="24"/>
                <w:lang w:val="en-US" w:eastAsia="es-ES"/>
              </w:rPr>
              <w:t>Miguel</w:t>
            </w:r>
          </w:p>
        </w:tc>
        <w:tc>
          <w:tcPr>
            <w:tcW w:w="132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color w:val="000000"/>
                <w:sz w:val="24"/>
                <w:szCs w:val="24"/>
                <w:lang w:val="en-US" w:eastAsia="es-ES"/>
              </w:rPr>
              <w:t>Morandi</w:t>
            </w:r>
          </w:p>
        </w:tc>
        <w:tc>
          <w:tcPr>
            <w:tcW w:w="4087"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color w:val="000000"/>
                <w:sz w:val="24"/>
                <w:szCs w:val="24"/>
                <w:lang w:val="en-US" w:eastAsia="es-ES"/>
              </w:rPr>
              <w:t>UNSJ</w:t>
            </w:r>
          </w:p>
        </w:tc>
        <w:tc>
          <w:tcPr>
            <w:tcW w:w="101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19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Gastón</w:t>
            </w:r>
          </w:p>
        </w:tc>
        <w:tc>
          <w:tcPr>
            <w:tcW w:w="132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Pechieu</w:t>
            </w:r>
          </w:p>
        </w:tc>
        <w:tc>
          <w:tcPr>
            <w:tcW w:w="4087"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BIP</w:t>
            </w:r>
          </w:p>
        </w:tc>
        <w:tc>
          <w:tcPr>
            <w:tcW w:w="101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19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sz w:val="24"/>
                <w:szCs w:val="24"/>
                <w:lang w:eastAsia="es-AR"/>
              </w:rPr>
              <w:t>Hernan</w:t>
            </w:r>
          </w:p>
        </w:tc>
        <w:tc>
          <w:tcPr>
            <w:tcW w:w="132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sz w:val="24"/>
                <w:szCs w:val="24"/>
                <w:lang w:eastAsia="es-AR"/>
              </w:rPr>
              <w:t>Bourdieu</w:t>
            </w:r>
          </w:p>
        </w:tc>
        <w:tc>
          <w:tcPr>
            <w:tcW w:w="4087"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sz w:val="24"/>
                <w:szCs w:val="24"/>
                <w:lang w:eastAsia="es-AR"/>
              </w:rPr>
              <w:t>CLARO</w:t>
            </w:r>
          </w:p>
        </w:tc>
        <w:tc>
          <w:tcPr>
            <w:tcW w:w="101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19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sz w:val="24"/>
                <w:szCs w:val="24"/>
                <w:lang w:eastAsia="es-AR"/>
              </w:rPr>
              <w:t>Ariel</w:t>
            </w:r>
          </w:p>
        </w:tc>
        <w:tc>
          <w:tcPr>
            <w:tcW w:w="132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bookmarkStart w:id="0" w:name="__DdeLink__265_3581157589"/>
            <w:r>
              <w:rPr>
                <w:rFonts w:eastAsia="Times New Roman" w:cs="Times New Roman" w:ascii="Times New Roman" w:hAnsi="Times New Roman"/>
                <w:sz w:val="24"/>
                <w:szCs w:val="24"/>
                <w:lang w:eastAsia="es-AR"/>
              </w:rPr>
              <w:t>Passarelli</w:t>
            </w:r>
            <w:bookmarkEnd w:id="0"/>
          </w:p>
        </w:tc>
        <w:tc>
          <w:tcPr>
            <w:tcW w:w="4087"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sz w:val="24"/>
                <w:szCs w:val="24"/>
                <w:lang w:eastAsia="es-AR"/>
              </w:rPr>
              <w:t>CLARO</w:t>
            </w:r>
          </w:p>
        </w:tc>
        <w:tc>
          <w:tcPr>
            <w:tcW w:w="101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19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t>Ricardo</w:t>
            </w:r>
          </w:p>
        </w:tc>
        <w:tc>
          <w:tcPr>
            <w:tcW w:w="132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t>Goldberg</w:t>
            </w:r>
          </w:p>
        </w:tc>
        <w:tc>
          <w:tcPr>
            <w:tcW w:w="4087"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t>XF</w:t>
            </w:r>
          </w:p>
        </w:tc>
        <w:tc>
          <w:tcPr>
            <w:tcW w:w="101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19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t>Víctor</w:t>
            </w:r>
          </w:p>
        </w:tc>
        <w:tc>
          <w:tcPr>
            <w:tcW w:w="132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t>Romero</w:t>
            </w:r>
          </w:p>
        </w:tc>
        <w:tc>
          <w:tcPr>
            <w:tcW w:w="4087"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t>CLARO</w:t>
            </w:r>
          </w:p>
        </w:tc>
        <w:tc>
          <w:tcPr>
            <w:tcW w:w="101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19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t>Facundo</w:t>
            </w:r>
          </w:p>
        </w:tc>
        <w:tc>
          <w:tcPr>
            <w:tcW w:w="132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t>Caselles</w:t>
            </w:r>
          </w:p>
        </w:tc>
        <w:tc>
          <w:tcPr>
            <w:tcW w:w="4087"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t>On Power</w:t>
            </w:r>
          </w:p>
        </w:tc>
        <w:tc>
          <w:tcPr>
            <w:tcW w:w="101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19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t>Sergio</w:t>
            </w:r>
          </w:p>
        </w:tc>
        <w:tc>
          <w:tcPr>
            <w:tcW w:w="132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t>Aprea</w:t>
            </w:r>
          </w:p>
        </w:tc>
        <w:tc>
          <w:tcPr>
            <w:tcW w:w="4087"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t>Netropolys</w:t>
            </w:r>
          </w:p>
        </w:tc>
        <w:tc>
          <w:tcPr>
            <w:tcW w:w="101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191"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t>Carlos</w:t>
            </w:r>
          </w:p>
        </w:tc>
        <w:tc>
          <w:tcPr>
            <w:tcW w:w="132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t>Guillen</w:t>
            </w:r>
          </w:p>
        </w:tc>
        <w:tc>
          <w:tcPr>
            <w:tcW w:w="4087"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t>GPS</w:t>
            </w:r>
          </w:p>
        </w:tc>
        <w:tc>
          <w:tcPr>
            <w:tcW w:w="1012"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191"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color w:val="000000"/>
                <w:sz w:val="24"/>
                <w:szCs w:val="24"/>
                <w:lang w:val="en-US" w:eastAsia="es-ES"/>
              </w:rPr>
              <w:t>David</w:t>
            </w:r>
          </w:p>
        </w:tc>
        <w:tc>
          <w:tcPr>
            <w:tcW w:w="1322"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color w:val="000000"/>
                <w:sz w:val="24"/>
                <w:szCs w:val="24"/>
                <w:lang w:val="en-US" w:eastAsia="es-ES"/>
              </w:rPr>
              <w:t>Vega </w:t>
            </w:r>
          </w:p>
        </w:tc>
        <w:tc>
          <w:tcPr>
            <w:tcW w:w="4087"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color w:val="000000"/>
                <w:sz w:val="24"/>
                <w:szCs w:val="24"/>
                <w:lang w:val="en-US" w:eastAsia="es-ES"/>
              </w:rPr>
              <w:t>I-TIC </w:t>
            </w:r>
          </w:p>
        </w:tc>
        <w:tc>
          <w:tcPr>
            <w:tcW w:w="1012"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bl>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0"/>
          <w:szCs w:val="20"/>
          <w:lang w:eastAsia="es-AR"/>
        </w:rPr>
        <w:t> </w:t>
      </w:r>
      <w:r>
        <w:rPr>
          <w:rFonts w:eastAsia="Times New Roman" w:cs="Times New Roman" w:ascii="Times New Roman" w:hAnsi="Times New Roman"/>
          <w:sz w:val="24"/>
          <w:szCs w:val="24"/>
          <w:lang w:eastAsia="es-AR"/>
        </w:rPr>
        <w:t>TEMARIO:</w:t>
      </w:r>
    </w:p>
    <w:p>
      <w:pPr>
        <w:pStyle w:val="Normal"/>
        <w:spacing w:lineRule="auto" w:line="240" w:before="0" w:after="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1-            ACTA ANTERIOR</w:t>
      </w:r>
    </w:p>
    <w:p>
      <w:pPr>
        <w:pStyle w:val="Normal"/>
        <w:spacing w:lineRule="auto" w:line="240" w:before="0" w:after="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2-            ADMINISTRACIÓN</w:t>
      </w:r>
    </w:p>
    <w:p>
      <w:pPr>
        <w:pStyle w:val="Normal"/>
        <w:spacing w:lineRule="auto" w:line="240" w:before="0" w:after="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3-            COMPRAS</w:t>
      </w:r>
    </w:p>
    <w:p>
      <w:pPr>
        <w:pStyle w:val="Normal"/>
        <w:spacing w:lineRule="auto" w:line="240" w:before="0" w:after="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4-            STATUS DE CONEXIONES DEL IXP</w:t>
      </w:r>
    </w:p>
    <w:p>
      <w:pPr>
        <w:pStyle w:val="Normal"/>
        <w:spacing w:lineRule="auto" w:line="240" w:before="0" w:after="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5-            STATUS DE CONEXIONES DE LOS MIEMBROS DEL IXP</w:t>
      </w:r>
    </w:p>
    <w:p>
      <w:pPr>
        <w:pStyle w:val="Normal"/>
        <w:spacing w:lineRule="auto" w:line="240" w:before="0" w:after="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6-            ALTAS, BAJAS Y MODIFICACIONES</w:t>
      </w:r>
    </w:p>
    <w:p>
      <w:pPr>
        <w:pStyle w:val="Normal"/>
        <w:spacing w:lineRule="auto" w:line="240" w:before="0" w:after="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7-            FECHA DE LA PRÓXIMA REUNIÓN</w:t>
      </w:r>
    </w:p>
    <w:p>
      <w:pPr>
        <w:pStyle w:val="Normal"/>
        <w:spacing w:lineRule="auto" w:line="240" w:before="0" w:after="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8-            TEMAS VARIOS</w:t>
      </w:r>
    </w:p>
    <w:p>
      <w:pPr>
        <w:pStyle w:val="Normal"/>
        <w:spacing w:lineRule="auto" w:line="240" w:before="0" w:after="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p>
      <w:pPr>
        <w:pStyle w:val="Normal"/>
        <w:spacing w:lineRule="auto" w:line="240" w:beforeAutospacing="1" w:afterAutospacing="1"/>
        <w:ind w:hanging="360"/>
        <w:rPr>
          <w:rFonts w:ascii="Times New Roman" w:hAnsi="Times New Roman" w:eastAsia="Times New Roman" w:cs="Times New Roman"/>
          <w:sz w:val="24"/>
          <w:szCs w:val="24"/>
          <w:lang w:eastAsia="es-AR"/>
        </w:rPr>
      </w:pPr>
      <w:r>
        <w:rPr>
          <w:rFonts w:eastAsia="Times New Roman" w:cs="Times New Roman" w:ascii="Times New Roman" w:hAnsi="Times New Roman"/>
          <w:sz w:val="20"/>
          <w:szCs w:val="20"/>
          <w:lang w:eastAsia="es-AR"/>
        </w:rPr>
        <w:t>1.</w:t>
      </w:r>
      <w:r>
        <w:rPr>
          <w:rFonts w:eastAsia="Times New Roman" w:cs="Times New Roman" w:ascii="Times New Roman" w:hAnsi="Times New Roman"/>
          <w:sz w:val="14"/>
          <w:szCs w:val="14"/>
          <w:lang w:eastAsia="es-AR"/>
        </w:rPr>
        <w:t xml:space="preserve">       </w:t>
      </w:r>
      <w:r>
        <w:rPr>
          <w:rFonts w:eastAsia="Times New Roman" w:cs="Times New Roman" w:ascii="Times New Roman" w:hAnsi="Times New Roman"/>
          <w:sz w:val="20"/>
          <w:szCs w:val="20"/>
          <w:lang w:eastAsia="es-AR"/>
        </w:rPr>
        <w:t xml:space="preserve">FECHA DEL CORREO ELECTRÓNICO CON </w:t>
      </w:r>
      <w:r>
        <w:rPr>
          <w:rFonts w:eastAsia="Times New Roman" w:cs="Times New Roman" w:ascii="Times New Roman" w:hAnsi="Times New Roman"/>
          <w:b/>
          <w:bCs/>
          <w:sz w:val="20"/>
          <w:szCs w:val="20"/>
          <w:lang w:eastAsia="es-AR"/>
        </w:rPr>
        <w:t>EL ACTA ANTERIOR CIRCULADA</w:t>
      </w:r>
      <w:r>
        <w:rPr>
          <w:rFonts w:eastAsia="Times New Roman" w:cs="Times New Roman" w:ascii="Times New Roman" w:hAnsi="Times New Roman"/>
          <w:sz w:val="20"/>
          <w:szCs w:val="20"/>
          <w:lang w:eastAsia="es-AR"/>
        </w:rPr>
        <w:t xml:space="preserve"> a la lista del IXP UAQ</w:t>
      </w:r>
    </w:p>
    <w:p>
      <w:pPr>
        <w:pStyle w:val="Normal"/>
        <w:spacing w:lineRule="auto" w:line="240" w:beforeAutospacing="1" w:afterAutospacing="1"/>
        <w:rPr/>
      </w:pPr>
      <w:r>
        <w:rPr>
          <w:rFonts w:eastAsia="Times New Roman" w:cs="Times New Roman" w:ascii="Times New Roman" w:hAnsi="Times New Roman"/>
          <w:sz w:val="16"/>
          <w:szCs w:val="16"/>
          <w:lang w:eastAsia="es-AR"/>
        </w:rPr>
        <w:t> </w:t>
      </w:r>
      <w:r>
        <w:rPr>
          <w:rFonts w:eastAsia="Times New Roman" w:cs="Times New Roman" w:ascii="Times New Roman" w:hAnsi="Times New Roman"/>
          <w:sz w:val="16"/>
          <w:szCs w:val="16"/>
          <w:lang w:eastAsia="es-AR"/>
        </w:rPr>
        <w:tab/>
      </w:r>
      <w:hyperlink r:id="rId2" w:tgtFrame="Este enlace externo se abrirá en una nueva ventana">
        <w:r>
          <w:rPr>
            <w:rStyle w:val="ListLabel16"/>
            <w:rFonts w:eastAsia="Times New Roman" w:cs="Times New Roman" w:ascii="Times New Roman" w:hAnsi="Times New Roman"/>
            <w:color w:val="0000FF"/>
            <w:sz w:val="24"/>
            <w:szCs w:val="24"/>
            <w:u w:val="single"/>
            <w:lang w:eastAsia="es-AR"/>
          </w:rPr>
          <w:t>ixpsanjuan@listas.cabase.org.ar</w:t>
        </w:r>
      </w:hyperlink>
      <w:r>
        <w:rPr>
          <w:rFonts w:eastAsia="Times New Roman" w:cs="Times New Roman" w:ascii="Times New Roman" w:hAnsi="Times New Roman"/>
          <w:sz w:val="24"/>
          <w:szCs w:val="24"/>
          <w:lang w:eastAsia="es-AR"/>
        </w:rPr>
        <w:t xml:space="preserve"> :   </w:t>
      </w:r>
    </w:p>
    <w:p>
      <w:pPr>
        <w:pStyle w:val="Normal"/>
        <w:spacing w:lineRule="auto" w:line="240" w:beforeAutospacing="1" w:afterAutospacing="1"/>
        <w:ind w:hanging="360"/>
        <w:rPr/>
      </w:pPr>
      <w:r>
        <w:rPr>
          <w:rFonts w:eastAsia="Times New Roman" w:cs="Times New Roman" w:ascii="Times New Roman" w:hAnsi="Times New Roman"/>
          <w:sz w:val="24"/>
          <w:szCs w:val="24"/>
          <w:lang w:eastAsia="es-AR"/>
        </w:rPr>
        <w:t>2.       Caja, se cuenta con el siguiente detalle:</w:t>
      </w:r>
    </w:p>
    <w:p>
      <w:pPr>
        <w:pStyle w:val="Normal"/>
        <w:spacing w:lineRule="auto" w:line="240" w:beforeAutospacing="1" w:afterAutospacing="1"/>
        <w:ind w:left="720" w:hanging="0"/>
        <w:contextualSpacing/>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p>
      <w:pPr>
        <w:pStyle w:val="Normal"/>
        <w:spacing w:lineRule="auto" w:line="240" w:beforeAutospacing="1" w:afterAutospacing="1"/>
        <w:ind w:hanging="0"/>
        <w:contextualSpacing/>
        <w:rPr/>
      </w:pPr>
      <w:r>
        <w:rPr>
          <w:rFonts w:eastAsia="Times New Roman" w:cs="Times New Roman" w:ascii="Times New Roman" w:hAnsi="Times New Roman"/>
          <w:sz w:val="24"/>
          <w:szCs w:val="24"/>
          <w:lang w:eastAsia="es-AR"/>
        </w:rPr>
        <w:t xml:space="preserve">Caja: $ </w:t>
      </w:r>
      <w:r>
        <w:rPr>
          <w:rFonts w:eastAsia="Times New Roman" w:cs="Times New Roman" w:ascii="Times New Roman" w:hAnsi="Times New Roman"/>
          <w:color w:val="CE181E"/>
          <w:sz w:val="24"/>
          <w:szCs w:val="24"/>
          <w:lang w:eastAsia="es-AR"/>
        </w:rPr>
        <w:t>-37.538,92</w:t>
      </w:r>
    </w:p>
    <w:p>
      <w:pPr>
        <w:pStyle w:val="Normal"/>
        <w:spacing w:lineRule="auto" w:line="240" w:beforeAutospacing="1" w:afterAutospacing="1"/>
        <w:ind w:hanging="0"/>
        <w:contextualSpacing/>
        <w:rPr/>
      </w:pPr>
      <w:r>
        <w:rPr>
          <w:rFonts w:eastAsia="Times New Roman" w:cs="Times New Roman" w:ascii="Times New Roman" w:hAnsi="Times New Roman"/>
          <w:sz w:val="24"/>
          <w:szCs w:val="24"/>
          <w:lang w:eastAsia="es-AR"/>
        </w:rPr>
        <w:t>Fondo de Reserva: Total: 57.660,-   En dólares: U$S6.000,-</w:t>
      </w:r>
    </w:p>
    <w:p>
      <w:pPr>
        <w:pStyle w:val="Normal"/>
        <w:spacing w:lineRule="auto" w:line="240" w:beforeAutospacing="1" w:afterAutospacing="1"/>
        <w:contextualSpacing/>
        <w:rPr/>
      </w:pPr>
      <w:r>
        <w:rPr>
          <w:rFonts w:eastAsia="Times New Roman" w:cs="Times New Roman" w:ascii="Times New Roman" w:hAnsi="Times New Roman"/>
          <w:sz w:val="24"/>
          <w:szCs w:val="24"/>
          <w:lang w:eastAsia="es-AR"/>
        </w:rPr>
        <w:t>Deuda: $242.401,33,-</w:t>
      </w:r>
    </w:p>
    <w:p>
      <w:pPr>
        <w:pStyle w:val="Normal"/>
        <w:spacing w:lineRule="auto" w:line="240" w:beforeAutospacing="1" w:afterAutospacing="1"/>
        <w:contextualSpacing/>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p>
      <w:pPr>
        <w:pStyle w:val="Normal"/>
        <w:spacing w:lineRule="auto" w:line="240" w:beforeAutospacing="1" w:afterAutospacing="1"/>
        <w:contextualSpacing/>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 xml:space="preserve">En la deuda está incluido el ISP VARGAS LEIVA JORGE CARLOS, </w:t>
      </w:r>
      <w:r>
        <w:rPr>
          <w:rFonts w:eastAsia="Times New Roman" w:cs="Times New Roman" w:ascii="Times New Roman" w:hAnsi="Times New Roman"/>
          <w:sz w:val="24"/>
          <w:szCs w:val="24"/>
          <w:lang w:eastAsia="es-AR"/>
        </w:rPr>
        <w:t>el cual debe $127,000.00 en conceptos de aporte inicial y fondo de reserva. Se recuerda que esta ISP nunca se conectó y en reuniones pasadas se decidió darlo de baja.</w:t>
      </w:r>
    </w:p>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b/>
          <w:bCs/>
          <w:sz w:val="24"/>
          <w:szCs w:val="24"/>
          <w:lang w:eastAsia="es-AR"/>
        </w:rPr>
        <w:t>3. PRESUPUESTO APROBADOS:</w:t>
      </w:r>
    </w:p>
    <w:p>
      <w:pPr>
        <w:pStyle w:val="Normal"/>
        <w:spacing w:lineRule="auto" w:line="240" w:beforeAutospacing="1" w:afterAutospacing="1"/>
        <w:rPr/>
      </w:pPr>
      <w:r>
        <w:rPr>
          <w:rFonts w:eastAsia="Times New Roman" w:cs="Times New Roman" w:ascii="Times New Roman" w:hAnsi="Times New Roman"/>
          <w:b w:val="false"/>
          <w:bCs w:val="false"/>
          <w:color w:val="auto"/>
          <w:kern w:val="0"/>
          <w:sz w:val="24"/>
          <w:szCs w:val="24"/>
          <w:lang w:val="es-AR" w:eastAsia="es-AR" w:bidi="ar-SA"/>
        </w:rPr>
        <w:t>Se aprueba el presupuesto presentado por Naxos Kut S.A. para la compra del  SWITCH, Marca Huawei modelo S6730-H48X6C con MÓDULOS SFP OPTOSTAR en un importe de U$D 6.942,58 (+IVA). Se utilizará el fondo de reserva en pesos y dólares.  Cada miembro deberá adquirir su propio módulo SFP.</w:t>
      </w:r>
    </w:p>
    <w:p>
      <w:pPr>
        <w:pStyle w:val="Normal"/>
        <w:spacing w:lineRule="auto" w:line="240" w:beforeAutospacing="1" w:afterAutospacing="1"/>
        <w:rPr/>
      </w:pPr>
      <w:r>
        <w:rPr>
          <w:rFonts w:eastAsia="Times New Roman" w:cs="Times New Roman" w:ascii="Times New Roman" w:hAnsi="Times New Roman"/>
          <w:b/>
          <w:bCs/>
          <w:sz w:val="24"/>
          <w:szCs w:val="24"/>
          <w:lang w:eastAsia="es-AR"/>
        </w:rPr>
        <w:t>4. STATUS DE CONEXIONES TÉCNICAS DEL IXP UAQ:</w:t>
      </w:r>
    </w:p>
    <w:p>
      <w:pPr>
        <w:pStyle w:val="Normal"/>
        <w:spacing w:lineRule="auto" w:line="240" w:beforeAutospacing="1" w:afterAutospacing="1"/>
        <w:rPr/>
      </w:pPr>
      <w:r>
        <w:rPr>
          <w:rFonts w:eastAsia="Times New Roman" w:cs="Times New Roman" w:ascii="Times New Roman" w:hAnsi="Times New Roman"/>
          <w:b/>
          <w:bCs/>
          <w:sz w:val="24"/>
          <w:szCs w:val="24"/>
          <w:lang w:eastAsia="es-AR"/>
        </w:rPr>
        <w:t>Sin Novedades</w:t>
      </w:r>
    </w:p>
    <w:p>
      <w:pPr>
        <w:pStyle w:val="Normal"/>
        <w:spacing w:lineRule="auto" w:line="240" w:beforeAutospacing="1" w:afterAutospacing="1"/>
        <w:rPr/>
      </w:pPr>
      <w:r>
        <w:rPr>
          <w:rFonts w:eastAsia="Times New Roman" w:cs="Times New Roman" w:ascii="Times New Roman" w:hAnsi="Times New Roman"/>
          <w:b/>
          <w:bCs/>
          <w:sz w:val="24"/>
          <w:szCs w:val="24"/>
          <w:lang w:eastAsia="es-AR"/>
        </w:rPr>
        <w:t xml:space="preserve">5- </w:t>
      </w:r>
      <w:r>
        <w:rPr>
          <w:rFonts w:eastAsia="Times New Roman" w:cs="Times New Roman" w:ascii="Times New Roman" w:hAnsi="Times New Roman"/>
          <w:sz w:val="24"/>
          <w:szCs w:val="24"/>
          <w:lang w:eastAsia="es-AR"/>
        </w:rPr>
        <w:t>STATUS DE CONEXIONES DE LOS MIEMBROS DEL IXP</w:t>
      </w:r>
    </w:p>
    <w:p>
      <w:pPr>
        <w:pStyle w:val="Normal"/>
        <w:spacing w:lineRule="auto" w:line="240" w:beforeAutospacing="1" w:afterAutospacing="1"/>
        <w:rPr/>
      </w:pPr>
      <w:r>
        <w:rPr>
          <w:rFonts w:eastAsia="Times New Roman" w:cs="Times New Roman" w:ascii="Times New Roman" w:hAnsi="Times New Roman"/>
          <w:b/>
          <w:bCs/>
          <w:sz w:val="24"/>
          <w:szCs w:val="24"/>
          <w:lang w:eastAsia="es-AR"/>
        </w:rPr>
        <w:t>Iván Gutierrez envió por mail una propuesta consensuada entre los ISP del IPX-UAQ, la cual transcribo en el acta:</w:t>
      </w:r>
    </w:p>
    <w:p>
      <w:pPr>
        <w:pStyle w:val="Normal"/>
        <w:spacing w:lineRule="auto" w:line="240" w:beforeAutospacing="1" w:afterAutospacing="1"/>
        <w:rPr/>
      </w:pPr>
      <w:r>
        <w:rPr/>
        <w:t>“…</w:t>
      </w:r>
      <w:r>
        <w:rPr/>
        <w:t>.Estimados Hernán/Ariel. En base a lo que tratamos la última reunión, acerca de lograr un acuerdo beneficioso para ambas partes en lo que respecta al tráfico/precio del transporte del IXP, estuvimos reunidos internamente los miembros proveedores de servicio a Clientes finales, analizando diferentes alternativas.</w:t>
      </w:r>
    </w:p>
    <w:p>
      <w:pPr>
        <w:pStyle w:val="Normal"/>
        <w:spacing w:lineRule="auto" w:line="240" w:beforeAutospacing="1" w:afterAutospacing="1"/>
        <w:rPr/>
      </w:pPr>
      <w:r>
        <w:rPr/>
        <w:t>De todas las que evaluamos, hemos determinado que analicen nuestra propuesta, la cual tiene beneficios para ambas partes y además también implica hacer un esfuerzo por parte de ambos, en la búsqueda de una situación mejor a futuro:</w:t>
      </w:r>
    </w:p>
    <w:p>
      <w:pPr>
        <w:pStyle w:val="Normal"/>
        <w:spacing w:lineRule="auto" w:line="240" w:beforeAutospacing="1" w:afterAutospacing="1"/>
        <w:rPr/>
      </w:pPr>
      <w:r>
        <w:rPr/>
        <w:t>Situación actual:</w:t>
      </w:r>
    </w:p>
    <w:p>
      <w:pPr>
        <w:pStyle w:val="Normal"/>
        <w:spacing w:lineRule="auto" w:line="240" w:beforeAutospacing="1" w:afterAutospacing="1"/>
        <w:rPr/>
      </w:pPr>
      <w:r>
        <w:rPr/>
        <w:t>·         Actualmente, estamos consumiendo entre todos los miembros (Feb y Mar 20) 2.9 Gbps</w:t>
      </w:r>
    </w:p>
    <w:p>
      <w:pPr>
        <w:pStyle w:val="Normal"/>
        <w:spacing w:lineRule="auto" w:line="240" w:beforeAutospacing="1" w:afterAutospacing="1"/>
        <w:rPr/>
      </w:pPr>
      <w:r>
        <w:rPr/>
        <w:t>·         El precio que estamos pagando por Transporte está muy elevado respecto de las ofertas concretas en el mercado</w:t>
      </w:r>
    </w:p>
    <w:p>
      <w:pPr>
        <w:pStyle w:val="Normal"/>
        <w:spacing w:lineRule="auto" w:line="240" w:beforeAutospacing="1" w:afterAutospacing="1"/>
        <w:rPr/>
      </w:pPr>
      <w:r>
        <w:rPr/>
        <w:t>·         El consumo en éstos últimos 15 días se ha incrementado notablemente, cuyos resultados se van a ver, en la medición de Abril 20</w:t>
      </w:r>
    </w:p>
    <w:p>
      <w:pPr>
        <w:pStyle w:val="Normal"/>
        <w:spacing w:lineRule="auto" w:line="240" w:beforeAutospacing="1" w:afterAutospacing="1"/>
        <w:rPr/>
      </w:pPr>
      <w:r>
        <w:rPr/>
        <w:t>·         Estimamos que éste consumo, se va a prolongar y, es probable que ésta situación se mantenga, independientemente de la situación actual, por un cambio de hábitos de la sociedad</w:t>
      </w:r>
    </w:p>
    <w:p>
      <w:pPr>
        <w:pStyle w:val="Normal"/>
        <w:spacing w:lineRule="auto" w:line="240" w:beforeAutospacing="1" w:afterAutospacing="1"/>
        <w:rPr/>
      </w:pPr>
      <w:r>
        <w:rPr/>
        <w:t>·         Es por ello, que la demanda del mercado va a profundizar los requerimientos (Mayor velocidad a mejores precios), que ya eran un hecho antes de ésta cuarentena</w:t>
      </w:r>
    </w:p>
    <w:p>
      <w:pPr>
        <w:pStyle w:val="Normal"/>
        <w:spacing w:lineRule="auto" w:line="240" w:beforeAutospacing="1" w:afterAutospacing="1"/>
        <w:rPr/>
      </w:pPr>
      <w:r>
        <w:rPr/>
        <w:t>·         Nos interesa incorporar a nuevos miembros pero no disponemos de una capacidad disponible inmediata y los precios que contamos son pocos competitivos para atraerlos. En éste punto, cabe destacar que hay interesados en participar del IXP, pero hoy no les conviene</w:t>
      </w:r>
    </w:p>
    <w:p>
      <w:pPr>
        <w:pStyle w:val="Normal"/>
        <w:spacing w:lineRule="auto" w:line="240" w:beforeAutospacing="1" w:afterAutospacing="1"/>
        <w:rPr/>
      </w:pPr>
      <w:r>
        <w:rPr/>
        <w:t>·         La forma de facturación actual es muy engorrosa y se nos dificulta entender cada factura, pagar disconforme porque no es lo que está acordado y que después nos lleguen NC y volver a revisar hacia atrás</w:t>
      </w:r>
    </w:p>
    <w:p>
      <w:pPr>
        <w:pStyle w:val="Normal"/>
        <w:spacing w:lineRule="auto" w:line="240" w:beforeAutospacing="1" w:afterAutospacing="1"/>
        <w:rPr>
          <w:b/>
          <w:b/>
          <w:bCs/>
        </w:rPr>
      </w:pPr>
      <w:r>
        <w:rPr>
          <w:b/>
          <w:bCs/>
        </w:rPr>
        <w:t>Propuesta</w:t>
      </w:r>
    </w:p>
    <w:p>
      <w:pPr>
        <w:pStyle w:val="Normal"/>
        <w:spacing w:lineRule="auto" w:line="240" w:beforeAutospacing="1" w:afterAutospacing="1"/>
        <w:rPr/>
      </w:pPr>
      <w:r>
        <w:rPr/>
        <w:t>·         Pasar a una facturación por capacidad determinada a cada miembro (Eliminar 95 percentil)</w:t>
      </w:r>
    </w:p>
    <w:p>
      <w:pPr>
        <w:pStyle w:val="Normal"/>
        <w:spacing w:lineRule="auto" w:line="240" w:beforeAutospacing="1" w:afterAutospacing="1"/>
        <w:rPr/>
      </w:pPr>
      <w:r>
        <w:rPr/>
        <w:t>·         Contratar un AB total por transporte de 7,5 Gbps a USD 1,90</w:t>
      </w:r>
    </w:p>
    <w:p>
      <w:pPr>
        <w:pStyle w:val="Normal"/>
        <w:spacing w:lineRule="auto" w:line="240" w:beforeAutospacing="1" w:afterAutospacing="1"/>
        <w:rPr/>
      </w:pPr>
      <w:r>
        <w:rPr/>
        <w:t>Beneficios:</w:t>
      </w:r>
    </w:p>
    <w:p>
      <w:pPr>
        <w:pStyle w:val="Normal"/>
        <w:spacing w:lineRule="auto" w:line="240" w:beforeAutospacing="1" w:afterAutospacing="1"/>
        <w:rPr/>
      </w:pPr>
      <w:r>
        <w:rPr/>
        <w:t>·         Contar con mayor capacidad para mejorar la oferta al mercado</w:t>
      </w:r>
    </w:p>
    <w:p>
      <w:pPr>
        <w:pStyle w:val="Normal"/>
        <w:spacing w:lineRule="auto" w:line="240" w:beforeAutospacing="1" w:afterAutospacing="1"/>
        <w:rPr/>
      </w:pPr>
      <w:r>
        <w:rPr/>
        <w:t>·         Contar con capacidad disponible para incorporar a nuevos miembros</w:t>
      </w:r>
    </w:p>
    <w:p>
      <w:pPr>
        <w:pStyle w:val="Normal"/>
        <w:spacing w:lineRule="auto" w:line="240" w:beforeAutospacing="1" w:afterAutospacing="1"/>
        <w:rPr/>
      </w:pPr>
      <w:r>
        <w:rPr/>
        <w:t>·         Normalizar el proceso de facturación y pago</w:t>
      </w:r>
    </w:p>
    <w:p>
      <w:pPr>
        <w:pStyle w:val="Normal"/>
        <w:spacing w:lineRule="auto" w:line="240" w:beforeAutospacing="1" w:afterAutospacing="1"/>
        <w:rPr/>
      </w:pPr>
      <w:r>
        <w:rPr/>
        <w:t>·         Previsibilidad de facturación de Claro, independientemente del uso/tráfico sobre la red</w:t>
      </w:r>
    </w:p>
    <w:p>
      <w:pPr>
        <w:pStyle w:val="Normal"/>
        <w:spacing w:lineRule="auto" w:line="240" w:beforeAutospacing="1" w:afterAutospacing="1"/>
        <w:rPr/>
      </w:pPr>
      <w:r>
        <w:rPr/>
        <w:t>Deseamos que analicen la misma y la podamos tratar en la próxima reunión del Jueves 02/04…...”</w:t>
      </w:r>
    </w:p>
    <w:p>
      <w:pPr>
        <w:pStyle w:val="Normal"/>
        <w:spacing w:lineRule="auto" w:line="240" w:beforeAutospacing="1" w:afterAutospacing="1"/>
        <w:rPr/>
      </w:pPr>
      <w:r>
        <w:rPr/>
        <w:t>Hernan B. nos indica que a partir del mail recibido el día anterior se comenzaron las tareas por un lado, en el área técnica, la disponibilidad del ancho de banda propuesto y en el área de marketing la propuesta de tarifas. Quedando comprometido a tener una respuesta para la próxima reunión.</w:t>
      </w:r>
    </w:p>
    <w:p>
      <w:pPr>
        <w:pStyle w:val="Normal"/>
        <w:spacing w:lineRule="auto" w:line="240" w:beforeAutospacing="1" w:afterAutospacing="1"/>
        <w:rPr/>
      </w:pPr>
      <w:r>
        <w:rPr/>
        <w:t>Respecto a esto se acordó lo siguiente, en caso de que la respuesta de CLARO sea conveniente:</w:t>
      </w:r>
    </w:p>
    <w:p>
      <w:pPr>
        <w:pStyle w:val="Normal"/>
        <w:spacing w:lineRule="auto" w:line="240" w:beforeAutospacing="1" w:afterAutospacing="1"/>
        <w:rPr/>
      </w:pPr>
      <w:r>
        <w:rPr/>
        <w:t>1. Los miembros del IXP acordarán en tratar la capacidad a contratar por cada uno para informarle a Claro</w:t>
      </w:r>
    </w:p>
    <w:p>
      <w:pPr>
        <w:pStyle w:val="Normal"/>
        <w:spacing w:lineRule="auto" w:line="240" w:beforeAutospacing="1" w:afterAutospacing="1"/>
        <w:rPr/>
      </w:pPr>
      <w:r>
        <w:rPr/>
        <w:t>2. CLARO va a solicitar al Área Técnica la posibilidad de contar con mayor capacidad de lo que solicitamos para disponer de capacidad ante nuevos requerimientos de los miembros existentes y/o nuevos que se quieran sumar al IXP</w:t>
      </w:r>
    </w:p>
    <w:p>
      <w:pPr>
        <w:pStyle w:val="Normal"/>
        <w:spacing w:lineRule="auto" w:line="240" w:beforeAutospacing="1" w:afterAutospacing="1"/>
        <w:rPr/>
      </w:pPr>
      <w:r>
        <w:rPr/>
        <w:t>Hernan S. comentó las alternativas que se están trabajando en los demás IXP.</w:t>
      </w:r>
    </w:p>
    <w:p>
      <w:pPr>
        <w:pStyle w:val="Normal"/>
        <w:spacing w:lineRule="auto" w:line="240" w:beforeAutospacing="1" w:afterAutospacing="1"/>
        <w:rPr/>
      </w:pPr>
      <w:r>
        <w:rPr/>
        <w:t>La contratación de una ancho de banda fijo tiene aparejado el problema de que algún miembro pueda exceder lo contratado utilizando disponibilidad de otros miembros. De ocurrir esta situación prolongado en el tiempo (digamos 2 meses) se renueva el contrato con al ampliación del ancho de banda del miembro que se excede y la disminución del que no lo utiliza. Manteniendo la capacidad comprometida con el carrier.</w:t>
      </w:r>
    </w:p>
    <w:p>
      <w:pPr>
        <w:pStyle w:val="Normal"/>
        <w:spacing w:lineRule="auto" w:line="240" w:beforeAutospacing="1" w:afterAutospacing="1"/>
        <w:rPr/>
      </w:pPr>
      <w:r>
        <w:rPr/>
        <w:t>Por otro lado, la incorporación de nuevos miembros se hará de acuerdo a la disponibilidad de la capacidad contratada, es decir, si algunos miembros tienen capacidad ociosa, podrán ponerla a disposición del nuevo miembro. De no contar con capacidad ociosa, será el transportista quien deba suministrar el aumento del ancho de banda para satisfacer las necesidades de nuevos miembros.</w:t>
      </w:r>
    </w:p>
    <w:p>
      <w:pPr>
        <w:pStyle w:val="Normal"/>
        <w:spacing w:lineRule="auto" w:line="240" w:beforeAutospacing="1" w:afterAutospacing="1"/>
        <w:rPr/>
      </w:pPr>
      <w:r>
        <w:rPr/>
        <w:t>Hay un tema a resolver que tiene que ver con la carga del cache de Google u otros en el futuro.</w:t>
      </w:r>
    </w:p>
    <w:p>
      <w:pPr>
        <w:pStyle w:val="Normal"/>
        <w:spacing w:lineRule="auto" w:line="240" w:beforeAutospacing="1" w:afterAutospacing="1"/>
        <w:rPr/>
      </w:pPr>
      <w:r>
        <w:rPr/>
        <w:t>Existen dos alternativas</w:t>
      </w:r>
    </w:p>
    <w:p>
      <w:pPr>
        <w:pStyle w:val="Normal"/>
        <w:spacing w:lineRule="auto" w:line="240" w:beforeAutospacing="1" w:afterAutospacing="1"/>
        <w:rPr/>
      </w:pPr>
      <w:r>
        <w:rPr/>
        <w:t>1. Que cada uno de los integrantes del IXP-UAQ contrate un porcentaje de ancho de banda, proporcional al estimado, destinando a la carga del cache.</w:t>
      </w:r>
    </w:p>
    <w:p>
      <w:pPr>
        <w:pStyle w:val="Normal"/>
        <w:spacing w:lineRule="auto" w:line="240" w:beforeAutospacing="1" w:afterAutospacing="1"/>
        <w:rPr/>
      </w:pPr>
      <w:r>
        <w:rPr/>
        <w:t>2. Establecer una especie de integrante nuevo, que sería el tráfico vinculado a la carga del cache, que será facturado aparte y distribuido el gasto entre los miembros.</w:t>
      </w:r>
    </w:p>
    <w:p>
      <w:pPr>
        <w:pStyle w:val="Normal"/>
        <w:spacing w:lineRule="auto" w:line="240" w:beforeAutospacing="1" w:afterAutospacing="1"/>
        <w:rPr/>
      </w:pPr>
      <w:r>
        <w:rPr/>
        <w:t xml:space="preserve">Respecto al miembro </w:t>
      </w:r>
      <w:r>
        <w:rPr/>
        <w:t xml:space="preserve">Netropolys tiene pendiente la realización de pruebas para determinar el tráfico de lo que va a CABASE y, luego de eso, volcará su tráfico por el IXP  </w:t>
      </w:r>
    </w:p>
    <w:p>
      <w:pPr>
        <w:pStyle w:val="Normal"/>
        <w:spacing w:lineRule="auto" w:line="240" w:beforeAutospacing="1" w:afterAutospacing="1"/>
        <w:rPr/>
      </w:pPr>
      <w:r>
        <w:rPr>
          <w:rFonts w:eastAsia="Times New Roman" w:cs="Times New Roman" w:ascii="Times New Roman" w:hAnsi="Times New Roman"/>
          <w:sz w:val="24"/>
          <w:szCs w:val="24"/>
          <w:lang w:eastAsia="es-AR"/>
        </w:rPr>
        <w:t>BAJAS Y MODIFICACIONES</w:t>
      </w:r>
    </w:p>
    <w:p>
      <w:pPr>
        <w:pStyle w:val="Normal"/>
        <w:spacing w:lineRule="auto" w:line="240" w:beforeAutospacing="1" w:afterAutospacing="1"/>
        <w:rPr>
          <w:rFonts w:ascii="Times New Roman" w:hAnsi="Times New Roman" w:eastAsia="Times New Roman" w:cs="Times New Roman"/>
          <w:b/>
          <w:b/>
          <w:bCs/>
          <w:sz w:val="24"/>
          <w:szCs w:val="24"/>
          <w:lang w:eastAsia="es-AR"/>
        </w:rPr>
      </w:pPr>
      <w:r>
        <w:rPr>
          <w:rFonts w:eastAsia="Times New Roman" w:cs="Times New Roman" w:ascii="Times New Roman" w:hAnsi="Times New Roman"/>
          <w:b/>
          <w:bCs/>
          <w:sz w:val="24"/>
          <w:szCs w:val="24"/>
          <w:lang w:eastAsia="es-AR"/>
        </w:rPr>
        <w:t>Sin Novedad</w:t>
      </w:r>
    </w:p>
    <w:p>
      <w:pPr>
        <w:pStyle w:val="Normal"/>
        <w:spacing w:lineRule="auto" w:line="240" w:beforeAutospacing="1" w:afterAutospacing="1"/>
        <w:rPr/>
      </w:pPr>
      <w:r>
        <w:rPr>
          <w:rFonts w:eastAsia="Times New Roman" w:cs="Times New Roman" w:ascii="Times New Roman" w:hAnsi="Times New Roman"/>
          <w:b/>
          <w:bCs/>
          <w:sz w:val="24"/>
          <w:szCs w:val="24"/>
          <w:lang w:eastAsia="es-AR"/>
        </w:rPr>
        <w:t xml:space="preserve">7 - REUNIÓN DE LA SUBCOMISIÓN ADMINISTRADORA DEL IXP CABASE REGIONAL UAQ: </w:t>
      </w:r>
    </w:p>
    <w:p>
      <w:pPr>
        <w:pStyle w:val="Normal"/>
        <w:spacing w:lineRule="auto" w:line="240" w:beforeAutospacing="1" w:afterAutospacing="1"/>
        <w:ind w:left="720" w:hanging="0"/>
        <w:contextualSpacing/>
        <w:rPr/>
      </w:pPr>
      <w:r>
        <w:rPr>
          <w:rFonts w:eastAsia="Times New Roman" w:cs="Times New Roman" w:ascii="Times New Roman" w:hAnsi="Times New Roman"/>
          <w:sz w:val="24"/>
          <w:szCs w:val="24"/>
          <w:lang w:eastAsia="es-AR"/>
        </w:rPr>
        <w:t xml:space="preserve">FECHA DE PRÓXIMA REUNIÓN: </w:t>
      </w:r>
      <w:r>
        <w:rPr>
          <w:rFonts w:eastAsia="Times New Roman" w:cs="Times New Roman" w:ascii="Times New Roman" w:hAnsi="Times New Roman"/>
          <w:b/>
          <w:sz w:val="24"/>
          <w:szCs w:val="24"/>
          <w:lang w:eastAsia="es-AR"/>
        </w:rPr>
        <w:t xml:space="preserve"> 14 de abril, </w:t>
      </w:r>
      <w:r>
        <w:rPr>
          <w:rFonts w:eastAsia="Times New Roman" w:cs="Times New Roman" w:ascii="Times New Roman" w:hAnsi="Times New Roman"/>
          <w:b/>
          <w:bCs/>
          <w:sz w:val="24"/>
          <w:szCs w:val="24"/>
          <w:lang w:eastAsia="es-AR"/>
        </w:rPr>
        <w:t>a las 9:30</w:t>
      </w:r>
    </w:p>
    <w:p>
      <w:pPr>
        <w:pStyle w:val="Normal"/>
        <w:spacing w:lineRule="auto" w:line="240" w:beforeAutospacing="1" w:afterAutospacing="1"/>
        <w:rPr/>
      </w:pPr>
      <w:r>
        <w:rPr>
          <w:rFonts w:eastAsia="Times New Roman" w:cs="Times New Roman" w:ascii="Times New Roman" w:hAnsi="Times New Roman"/>
          <w:sz w:val="24"/>
          <w:szCs w:val="24"/>
          <w:lang w:eastAsia="es-AR"/>
        </w:rPr>
        <w:t>8- TEMAS VARIOS</w:t>
      </w:r>
    </w:p>
    <w:p>
      <w:pPr>
        <w:pStyle w:val="Normal"/>
        <w:spacing w:lineRule="auto" w:line="240" w:beforeAutospacing="1" w:afterAutospacing="1"/>
        <w:rPr/>
      </w:pPr>
      <w:r>
        <w:rPr/>
        <w:t>Juan Carlos M. solicita colaboración de la información de CABASE acerca de la relevancia de las cobranzas en efectivo y/ó en medios de pago que hoy no están pudiendo realizarse, ya que están preparando un requerimiento al Gobierno para restablecer ciertas actividades para normalizar la situación de las cajas de las empresas del sector.</w:t>
      </w:r>
    </w:p>
    <w:p>
      <w:pPr>
        <w:pStyle w:val="Normal"/>
        <w:spacing w:lineRule="auto" w:line="240" w:beforeAutospacing="1" w:afterAutospacing="1"/>
        <w:rPr>
          <w:rFonts w:ascii="Times New Roman" w:hAnsi="Times New Roman" w:eastAsia="Times New Roman" w:cs="Times New Roman"/>
          <w:sz w:val="24"/>
          <w:szCs w:val="24"/>
          <w:lang w:eastAsia="es-AR"/>
        </w:rPr>
      </w:pPr>
      <w:r>
        <w:rPr/>
      </w:r>
    </w:p>
    <w:sectPr>
      <w:type w:val="nextPage"/>
      <w:pgSz w:w="11906" w:h="16838"/>
      <w:pgMar w:left="1701" w:right="1701"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6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s-A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AR" w:eastAsia="en-US" w:bidi="ar-SA"/>
    </w:rPr>
  </w:style>
  <w:style w:type="character" w:styleId="DefaultParagraphFont" w:default="1">
    <w:name w:val="Default Paragraph Font"/>
    <w:uiPriority w:val="1"/>
    <w:semiHidden/>
    <w:unhideWhenUsed/>
    <w:qFormat/>
    <w:rPr/>
  </w:style>
  <w:style w:type="character" w:styleId="TextosinformatoCar" w:customStyle="1">
    <w:name w:val="Texto sin formato Car"/>
    <w:basedOn w:val="DefaultParagraphFont"/>
    <w:link w:val="Textosinformato"/>
    <w:uiPriority w:val="99"/>
    <w:semiHidden/>
    <w:qFormat/>
    <w:rsid w:val="00f236be"/>
    <w:rPr>
      <w:rFonts w:ascii="Times New Roman" w:hAnsi="Times New Roman" w:eastAsia="Times New Roman" w:cs="Times New Roman"/>
      <w:sz w:val="24"/>
      <w:szCs w:val="24"/>
      <w:lang w:eastAsia="es-AR"/>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ascii="Times New Roman" w:hAnsi="Times New Roman" w:eastAsia="Times New Roman" w:cs="Times New Roman"/>
      <w:color w:val="0000FF"/>
      <w:sz w:val="24"/>
      <w:szCs w:val="24"/>
      <w:u w:val="single"/>
      <w:lang w:eastAsia="es-AR"/>
    </w:rPr>
  </w:style>
  <w:style w:type="character" w:styleId="EnlacedeInternet">
    <w:name w:val="Enlace de Internet"/>
    <w:rPr>
      <w:color w:val="000080"/>
      <w:u w:val="single"/>
      <w:lang w:val="zxx" w:eastAsia="zxx" w:bidi="zxx"/>
    </w:rPr>
  </w:style>
  <w:style w:type="character" w:styleId="ListLabel17">
    <w:name w:val="ListLabel 17"/>
    <w:qFormat/>
    <w:rPr>
      <w:rFonts w:ascii="Times New Roman" w:hAnsi="Times New Roman" w:eastAsia="Times New Roman" w:cs="Times New Roman"/>
      <w:color w:val="0000FF"/>
      <w:sz w:val="24"/>
      <w:szCs w:val="24"/>
      <w:u w:val="single"/>
      <w:lang w:eastAsia="es-AR"/>
    </w:rPr>
  </w:style>
  <w:style w:type="character" w:styleId="ListLabel18">
    <w:name w:val="ListLabel 18"/>
    <w:qFormat/>
    <w:rPr>
      <w:rFonts w:ascii="Times New Roman" w:hAnsi="Times New Roman" w:eastAsia="Times New Roman" w:cs="Times New Roman"/>
      <w:color w:val="0000FF"/>
      <w:sz w:val="24"/>
      <w:szCs w:val="24"/>
      <w:u w:val="single"/>
      <w:lang w:eastAsia="es-AR"/>
    </w:rPr>
  </w:style>
  <w:style w:type="character" w:styleId="ListLabel19">
    <w:name w:val="ListLabel 19"/>
    <w:qFormat/>
    <w:rPr>
      <w:rFonts w:ascii="Times New Roman" w:hAnsi="Times New Roman" w:eastAsia="Times New Roman" w:cs="Times New Roman"/>
      <w:color w:val="0000FF"/>
      <w:sz w:val="24"/>
      <w:szCs w:val="24"/>
      <w:u w:val="single"/>
      <w:lang w:eastAsia="es-AR"/>
    </w:rPr>
  </w:style>
  <w:style w:type="character" w:styleId="ListLabel20">
    <w:name w:val="ListLabel 20"/>
    <w:qFormat/>
    <w:rPr>
      <w:rFonts w:ascii="Times New Roman" w:hAnsi="Times New Roman" w:eastAsia="Times New Roman" w:cs="Times New Roman"/>
      <w:color w:val="0000FF"/>
      <w:sz w:val="24"/>
      <w:szCs w:val="24"/>
      <w:u w:val="single"/>
      <w:lang w:eastAsia="es-AR"/>
    </w:rPr>
  </w:style>
  <w:style w:type="character" w:styleId="ListLabel21">
    <w:name w:val="ListLabel 21"/>
    <w:qFormat/>
    <w:rPr>
      <w:rFonts w:ascii="Times New Roman" w:hAnsi="Times New Roman" w:eastAsia="Times New Roman" w:cs="Times New Roman"/>
      <w:color w:val="0000FF"/>
      <w:sz w:val="24"/>
      <w:szCs w:val="24"/>
      <w:u w:val="single"/>
      <w:lang w:eastAsia="es-AR"/>
    </w:rPr>
  </w:style>
  <w:style w:type="character" w:styleId="ListLabel22">
    <w:name w:val="ListLabel 22"/>
    <w:qFormat/>
    <w:rPr>
      <w:rFonts w:ascii="Times New Roman" w:hAnsi="Times New Roman" w:eastAsia="Times New Roman" w:cs="Times New Roman"/>
      <w:color w:val="0000FF"/>
      <w:sz w:val="24"/>
      <w:szCs w:val="24"/>
      <w:u w:val="single"/>
      <w:lang w:eastAsia="es-AR"/>
    </w:rPr>
  </w:style>
  <w:style w:type="character" w:styleId="ListLabel23">
    <w:name w:val="ListLabel 23"/>
    <w:qFormat/>
    <w:rPr>
      <w:rFonts w:ascii="Times New Roman" w:hAnsi="Times New Roman" w:eastAsia="Times New Roman" w:cs="Times New Roman"/>
      <w:color w:val="0000FF"/>
      <w:sz w:val="24"/>
      <w:szCs w:val="24"/>
      <w:u w:val="single"/>
      <w:lang w:eastAsia="es-AR"/>
    </w:rPr>
  </w:style>
  <w:style w:type="character" w:styleId="ListLabel24">
    <w:name w:val="ListLabel 24"/>
    <w:qFormat/>
    <w:rPr>
      <w:rFonts w:ascii="Times New Roman" w:hAnsi="Times New Roman" w:eastAsia="Times New Roman" w:cs="Times New Roman"/>
      <w:color w:val="0000FF"/>
      <w:sz w:val="24"/>
      <w:szCs w:val="24"/>
      <w:u w:val="single"/>
      <w:lang w:eastAsia="es-AR"/>
    </w:rPr>
  </w:style>
  <w:style w:type="character" w:styleId="ListLabel25">
    <w:name w:val="ListLabel 25"/>
    <w:qFormat/>
    <w:rPr>
      <w:rFonts w:ascii="Times New Roman" w:hAnsi="Times New Roman" w:eastAsia="Times New Roman" w:cs="Times New Roman"/>
      <w:color w:val="0000FF"/>
      <w:sz w:val="24"/>
      <w:szCs w:val="24"/>
      <w:u w:val="single"/>
      <w:lang w:eastAsia="es-AR"/>
    </w:rPr>
  </w:style>
  <w:style w:type="character" w:styleId="ListLabel26">
    <w:name w:val="ListLabel 26"/>
    <w:qFormat/>
    <w:rPr>
      <w:rFonts w:ascii="Times New Roman" w:hAnsi="Times New Roman" w:eastAsia="Times New Roman" w:cs="Times New Roman"/>
      <w:color w:val="0000FF"/>
      <w:sz w:val="24"/>
      <w:szCs w:val="24"/>
      <w:u w:val="single"/>
      <w:lang w:eastAsia="es-AR"/>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istParagraph">
    <w:name w:val="List Paragraph"/>
    <w:basedOn w:val="Normal"/>
    <w:uiPriority w:val="34"/>
    <w:qFormat/>
    <w:rsid w:val="00234f45"/>
    <w:pPr>
      <w:spacing w:before="0" w:after="160"/>
      <w:ind w:left="720" w:hanging="0"/>
      <w:contextualSpacing/>
    </w:pPr>
    <w:rPr/>
  </w:style>
  <w:style w:type="paragraph" w:styleId="PlainText">
    <w:name w:val="Plain Text"/>
    <w:basedOn w:val="Normal"/>
    <w:link w:val="TextosinformatoCar"/>
    <w:uiPriority w:val="99"/>
    <w:semiHidden/>
    <w:unhideWhenUsed/>
    <w:qFormat/>
    <w:rsid w:val="00f236be"/>
    <w:pPr>
      <w:spacing w:lineRule="auto" w:line="240" w:beforeAutospacing="1" w:afterAutospacing="1"/>
    </w:pPr>
    <w:rPr>
      <w:rFonts w:ascii="Times New Roman" w:hAnsi="Times New Roman" w:eastAsia="Times New Roman" w:cs="Times New Roman"/>
      <w:sz w:val="24"/>
      <w:szCs w:val="24"/>
      <w:lang w:eastAsia="es-AR"/>
    </w:rPr>
  </w:style>
  <w:style w:type="paragraph" w:styleId="Contenidodelatabla">
    <w:name w:val="Contenido de la tabla"/>
    <w:basedOn w:val="Normal"/>
    <w:qFormat/>
    <w:pPr>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ebmail.unsj.edu.ar/src/compose.php?send_to=ixpsanjuan@listas.cabase.org.ar"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8BBAC-6AA2-4BE9-B82F-B8034EA7D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Application>LibreOffice/6.0.7.3$Linux_X86_64 LibreOffice_project/00m0$Build-3</Application>
  <Pages>5</Pages>
  <Words>1130</Words>
  <Characters>5736</Characters>
  <CharactersWithSpaces>6978</CharactersWithSpaces>
  <Paragraphs>110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2019-07-30T13:40:00Z</dcterms:created>
  <dc:creator>Miguel Morandi</dc:creator>
  <dc:description/>
  <dc:language>es-AR</dc:language>
  <cp:lastModifiedBy/>
  <dcterms:modified xsi:type="dcterms:W3CDTF">2020-04-07T15:46:53Z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