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color w:val="002060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0"/>
          <w:szCs w:val="20"/>
          <w:lang w:eastAsia="es-AR"/>
        </w:rPr>
        <w:t>CTA CONFECCIONADA POR PARTE DEL COORDINADOR TÉCNICO DEL IXP CABASE TITULAR O ALTERNO (EN SU AUSENCIA): Alejandro Cuadra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DEL NAP: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SUBCOMISIÓN ADMINISTRADORA DEL IXP/ NAP CABASE REGIONAL San Juan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TRES LESTRAS QUE IDENTIFICAN AL IXP/NAP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 LA REUNIÓN: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FECHA: DÍA 10 de septiembre de 2020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557" w:type="dxa"/>
        <w:jc w:val="left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246"/>
        <w:gridCol w:w="1358"/>
        <w:gridCol w:w="3121"/>
        <w:gridCol w:w="1831"/>
      </w:tblGrid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NOMBRE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APELLIDO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 xml:space="preserve">RAZÓN SOCIAL A LA QUE REPRESENTA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 xml:space="preserve">CARGO 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Juan C.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Marquez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Hernan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Bourdieu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Ariel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bookmarkStart w:id="0" w:name="__DdeLink__265_3581157589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Passarelli</w:t>
            </w:r>
            <w:bookmarkEnd w:id="0"/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Victor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Romero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Iván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Gutierrez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INTERSAT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Alejandro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Cuadra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Técnico IXP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Gastón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Pechieu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BIP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Ricardo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Goldberg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XF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Facundo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Caselles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On Power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David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Vega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I-TIC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Nicolás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Vallejo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Interredes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Carlos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Guillen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GPS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</w:tbl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TEMARIO: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1-            ACTA ANTERIOR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2-            ADMINISTRACIÓN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3-            COMPRAS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4-            STATUS DE CONEXIONES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5-            STATUS DE CONEXIONES DE LOS MIEMBROS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            ALTAS, BAJAS Y MODIFICACIONES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7-            FECHA DE LA PRÓXIMA REUNIÓN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           TEMAS VARIOS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ind w:left="0" w:right="0" w:hanging="36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eastAsia="es-AR"/>
        </w:rPr>
        <w:t xml:space="preserve">      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DEL CORREO ELECTRÓNICO CON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EL ACTA ANTERIOR CIRCULADA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a la lista del IXP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> </w:t>
      </w: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ab/>
      </w:r>
      <w:hyperlink r:id="rId2" w:tgtFrame="Este enlace externo se abrirá en una nueva ventana">
        <w:r>
          <w:rPr>
            <w:rStyle w:val="ListLabel16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es-AR"/>
          </w:rPr>
          <w:t>ixpsanjuan@listas.cabase.org.ar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: 13 de agosto de 2020 </w:t>
      </w:r>
    </w:p>
    <w:p>
      <w:pPr>
        <w:pStyle w:val="Normal"/>
        <w:spacing w:lineRule="auto" w:line="240" w:before="280" w:after="280"/>
        <w:ind w:left="0" w:right="0"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2.       Caja, se cuenta con el siguiente detalle:</w:t>
      </w:r>
    </w:p>
    <w:p>
      <w:pPr>
        <w:pStyle w:val="Normal"/>
        <w:spacing w:lineRule="auto" w:line="240" w:before="280" w:after="280"/>
        <w:ind w:left="720" w:right="0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Caja: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>$ 104.781,84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Fondo de Reserva: Total: 38.1250,-   En dólares: U$S0,-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Deuda: </w:t>
      </w:r>
      <w:r>
        <w:rPr>
          <w:rFonts w:eastAsia="Times New Roman" w:cs="Times New Roman" w:ascii="Times New Roman" w:hAnsi="Times New Roman"/>
          <w:color w:val="ED1C24"/>
          <w:sz w:val="24"/>
          <w:szCs w:val="24"/>
          <w:lang w:eastAsia="es-AR"/>
        </w:rPr>
        <w:t>$ -73.875,34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 xml:space="preserve"> 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lang w:eastAsia="es-AR"/>
        </w:rPr>
        <w:t xml:space="preserve">CORTEZ RAÚL OMAR: </w:t>
      </w:r>
      <w:r>
        <w:rPr>
          <w:color w:val="CE181E"/>
          <w:lang w:eastAsia="es-AR"/>
        </w:rPr>
        <w:t>$</w:t>
      </w:r>
      <w:r>
        <w:rPr>
          <w:rFonts w:eastAsia="Calibri" w:cs="DejaVu Sans" w:ascii="sans-serif" w:hAnsi="sans-serif"/>
          <w:color w:val="CE181E"/>
          <w:kern w:val="0"/>
          <w:sz w:val="22"/>
          <w:szCs w:val="22"/>
          <w:lang w:val="es-AR" w:eastAsia="es-AR" w:bidi="ar-SA"/>
        </w:rPr>
        <w:t>23,282.82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Fonts w:eastAsia="Calibri" w:cs="DejaVu Sans"/>
          <w:color w:val="auto"/>
          <w:kern w:val="0"/>
          <w:sz w:val="22"/>
          <w:szCs w:val="22"/>
          <w:lang w:val="es-AR" w:eastAsia="es-AR" w:bidi="ar-SA"/>
        </w:rPr>
        <w:t>PECHIEU GASTON:</w:t>
      </w:r>
      <w:r>
        <w:rPr>
          <w:rFonts w:eastAsia="Calibri" w:cs="DejaVu Sans"/>
          <w:color w:val="CE181E"/>
          <w:kern w:val="0"/>
          <w:sz w:val="22"/>
          <w:szCs w:val="22"/>
          <w:lang w:val="es-AR" w:eastAsia="es-AR" w:bidi="ar-SA"/>
        </w:rPr>
        <w:t xml:space="preserve"> $12.934,90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 xml:space="preserve">TELMEX ARGENTINA S.A.: </w:t>
      </w:r>
      <w:r>
        <w:rPr>
          <w:rFonts w:eastAsia="Times New Roman" w:cs="Times New Roman" w:ascii="Times New Roman" w:hAnsi="Times New Roman"/>
          <w:color w:val="ED1C24"/>
          <w:sz w:val="24"/>
          <w:szCs w:val="24"/>
          <w:lang w:eastAsia="es-AR"/>
        </w:rPr>
        <w:t>$2.896,74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sans-serif" w:hAnsi="sans-serif"/>
          <w:sz w:val="14"/>
        </w:rPr>
      </w:pPr>
      <w:r>
        <w:rPr>
          <w:rFonts w:eastAsia="Calibri" w:cs="DejaVu Sans"/>
          <w:color w:val="auto"/>
          <w:kern w:val="0"/>
          <w:sz w:val="22"/>
          <w:szCs w:val="22"/>
          <w:lang w:val="es-AR" w:eastAsia="es-AR" w:bidi="ar-SA"/>
        </w:rPr>
        <w:t>NETROPOLYS S.A.:</w:t>
      </w:r>
      <w:r>
        <w:rPr>
          <w:rFonts w:eastAsia="Times New Roman" w:cs="Times New Roman" w:ascii="Times New Roman" w:hAnsi="Times New Roman"/>
          <w:color w:val="ED1C24"/>
          <w:sz w:val="24"/>
          <w:szCs w:val="24"/>
          <w:lang w:eastAsia="es-AR"/>
        </w:rPr>
        <w:t xml:space="preserve"> $21,725.55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sans-serif" w:hAnsi="sans-serif"/>
          <w:sz w:val="14"/>
        </w:rPr>
      </w:pPr>
      <w:r>
        <w:rPr>
          <w:rFonts w:eastAsia="Calibri" w:cs="DejaVu Sans"/>
          <w:color w:val="auto"/>
          <w:kern w:val="0"/>
          <w:sz w:val="22"/>
          <w:szCs w:val="22"/>
          <w:lang w:val="es-AR" w:eastAsia="es-AR" w:bidi="ar-SA"/>
        </w:rPr>
        <w:t xml:space="preserve">GPS SAN JUAN S.R.L.: </w:t>
      </w:r>
      <w:r>
        <w:rPr>
          <w:rFonts w:eastAsia="Times New Roman" w:cs="Times New Roman" w:ascii="Times New Roman" w:hAnsi="Times New Roman"/>
          <w:color w:val="ED1C24"/>
          <w:sz w:val="24"/>
          <w:szCs w:val="24"/>
          <w:lang w:eastAsia="es-AR"/>
        </w:rPr>
        <w:t xml:space="preserve"> $13,035.33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2.1 Resti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t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ución fondo de reserva, a través de un aporte extraordinario.  Queda en espera a fin de determinar la forma de mantener el fondo de reserva. Juan Carlos averiguará en CABASE la posibilidad de compra de dólares, plazo fijo o fondo de inversión.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3. PRESUPUESTO APROBADOS: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s-AR" w:eastAsia="es-A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s-AR" w:eastAsia="es-AR" w:bidi="ar-SA"/>
        </w:rPr>
        <w:t>sin novedad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4. STATUS DE CONEXIONES TÉCNICAS DEL IXP UAQ: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Ricardo Goldber informa que estamos en condiciones de aplicar para el caché de Netflix.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Requisitos:</w:t>
        <w:br/>
        <w:t>1) 1U de espacio en rack</w:t>
        <w:br/>
        <w:t>2) 2 puertas de 10Gbps (SFP+)</w:t>
        <w:br/>
        <w:t>3) 250W de energía (pico)</w:t>
        <w:br/>
        <w:t>4) 400Mbps para la actualización diaria del servidor (ventana de las 02:00am – 02:00pm)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El envío de server se debe hacer todo el proceso de nacionalización lo que involucra un costo y tiempo de implementación de aproximadamente 60 días. El costo de nacionalización y demás requisitos deberían ser absorbidos por todos los miembros salvo la UNSJ que no consume contenidos de este cache de acuerdo a los informes de tráfico enviados desde CABASE.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N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etflix cubre los costos de envio del servidor y que esperaremos tener mas detalles de las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características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 del equipo que enviaran para pedir presupuestos para la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nacionalización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 del mismo.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Juan Carlos envía el documento RECOMENDACIONES GLAS GENERALES PARA COMPARTIR INFRAESTRUCTURA EN LOS IXP DE CABASE “OPEN CONNECT APPLIANCE” (“OCA”) u otros CACHES” se adjunta al acta.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E</w:t>
      </w:r>
      <w:r>
        <w:rPr/>
        <w:t>l mismo busca generar un acuerdo de uso y responsabilidades de los miembros del IXP, y que dichas recomendaciones pueden ser modificadas, si hiciera falta, teniendo en cuenta los criterios de la mesa.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Carlos Guillen expone los problemas que tiene con el acceso al NAP y planea que necesita mejorar esta situación porque de otra forma no le conviene seguir en el NAP. Muestra una gráfica de la baja en el tráfico y no encuentra los motivos. La respuesta que tiene es que AKAMAI está saturado y es debido a que se sumó la red TikTok.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Ariel informa que no tiene fecha cierta de la ampliación por encima de los 10 Gbps. Solicita que se especifique las capacidades requeridas para hacer la actualización. 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Ivan Gutierrez plantea que esta situación no es sostenible, es imposible trabajar de esta forma, CLARO nunca tiene capacidad disponible y solicita que CLARO implemente una upgrade de 10 Gbps a lo que Ariel responde que debe tener la distribución de esos 10 Gbps. 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Miguel Morandi plantea que lo que pretende CLARO es vender toda la capacidad disponible y que los ISP absorban la capacidad ociosa en forma total, y esto es imposible de aceptar. La propuesta es compartir capacidades ociosas entre los ISP y CLARO, es decir por ejemplo tener una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es-AR" w:bidi="ar-SA"/>
        </w:rPr>
        <w:t>upgrade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 a 20 Gbps en total y los ISP contratar por 15 Gbps, de esta manera ambos tendrán capacidades disponibles para ofrecer a los usuarios finales por parte de los ISP y CLARO tendrá capacidad disponible para ofrecer a los ISP que necesiten ampliar en forma inmediata. Airel se compromete a llevar esta propuesta a CLARO.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8. Otros.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5-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STATUS DE CONEXIONES DE LOS MIEMBROS DEL IXP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BAJAS Y MODIFICACIONES</w:t>
      </w:r>
    </w:p>
    <w:p>
      <w:pPr>
        <w:pStyle w:val="Cuerpodetexto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las empresas mencionadas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a continuación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tienen la intención de solicitar la membresía al IXP de San Juan, por lo que deberán ser evaluadas para luego darles una respuesta al respecto.</w:t>
      </w:r>
    </w:p>
    <w:p>
      <w:pPr>
        <w:pStyle w:val="Cuerpodetexto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* Guillermo Voguet Twainsat SRL (CUIT 30-71128144-0) Periodistas Argentinos 6119 - Barrio Camus Rivadavia - San Juan Te: 264-5040000</w:t>
      </w:r>
    </w:p>
    <w:p>
      <w:pPr>
        <w:pStyle w:val="Cuerpodetexto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* Julio Nostray AustralNet (Jachal) Gestionando transporte al IXP Te: 264-7407288</w:t>
      </w:r>
    </w:p>
    <w:p>
      <w:pPr>
        <w:pStyle w:val="Cuerpodetexto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* Hugo Leiria GEO Internet (Dpto. Rivadavia) Gestionando transporte al IXP Te: 264-5553927 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7 - REUNIÓN DE LA SUBCOMISIÓN ADMINISTRADORA DEL IXP CABASE REGIONAL UAQ: </w:t>
      </w:r>
    </w:p>
    <w:p>
      <w:pPr>
        <w:pStyle w:val="Normal"/>
        <w:spacing w:lineRule="auto" w:line="240" w:before="280" w:after="280"/>
        <w:ind w:left="72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FECHA DE PRÓXIMA REUNIÓN: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08 de octubre,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a las 9:30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ans-serif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es-A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s-AR" w:eastAsia="en-US" w:bidi="ar-SA"/>
    </w:rPr>
  </w:style>
  <w:style w:type="character" w:styleId="DefaultParagraphFont">
    <w:name w:val="Default Paragraph Font"/>
    <w:qFormat/>
    <w:rPr/>
  </w:style>
  <w:style w:type="character" w:styleId="TextosinformatoCar">
    <w:name w:val="Texto sin formato C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18">
    <w:name w:val="ListLabel 1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0">
    <w:name w:val="ListLabel 20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2">
    <w:name w:val="ListLabel 2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4">
    <w:name w:val="ListLabel 24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7">
    <w:name w:val="ListLabel 2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0">
    <w:name w:val="ListLabel 30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2">
    <w:name w:val="ListLabel 3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4">
    <w:name w:val="ListLabel 34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6">
    <w:name w:val="ListLabel 3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48">
    <w:name w:val="ListLabel 4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49">
    <w:name w:val="ListLabel 49"/>
    <w:qFormat/>
    <w:rPr>
      <w:rFonts w:ascii="sans-serif" w:hAnsi="sans-serif" w:cs="OpenSymbol"/>
      <w:sz w:val="12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ListLabel60">
    <w:name w:val="ListLabel 60"/>
    <w:qFormat/>
    <w:rPr>
      <w:rFonts w:cs="OpenSymbol"/>
      <w:sz w:val="1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70">
    <w:name w:val="ListLabel 70"/>
    <w:qFormat/>
    <w:rPr>
      <w:rFonts w:cs="OpenSymbol"/>
      <w:sz w:val="12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80">
    <w:name w:val="ListLabel 80"/>
    <w:qFormat/>
    <w:rPr>
      <w:rFonts w:cs="OpenSymbol"/>
      <w:sz w:val="12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90">
    <w:name w:val="ListLabel 90"/>
    <w:qFormat/>
    <w:rPr>
      <w:rFonts w:ascii="sans-serif" w:hAnsi="sans-serif" w:cs="OpenSymbol"/>
      <w:sz w:val="14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mail.unsj.edu.ar/src/compose.php?send_to=ixpsanjuan@listas.cabase.org.a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Application>LibreOffice/6.0.7.3$Linux_X86_64 LibreOffice_project/00m0$Build-3</Application>
  <Pages>4</Pages>
  <Words>822</Words>
  <Characters>4145</Characters>
  <CharactersWithSpaces>4977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2019-07-30T13:40:00Z</dcterms:created>
  <dc:creator>Miguel Morandi</dc:creator>
  <dc:description/>
  <dc:language>es-AR</dc:language>
  <cp:lastModifiedBy/>
  <dcterms:modified xsi:type="dcterms:W3CDTF">2020-09-14T18:14:17Z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