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LESTRAS QUE IDENTIFICAN AL IXP/NAP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FECHA: DÍA  12 de 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>noviembre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de 2020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Alejandro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Cuadra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Técnico IXP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+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           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           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           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           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           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           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           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           TEMAS VARIOS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      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> </w:t>
      </w: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23 de octubre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2020 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       Caja, se cuenta con el siguiente detalle: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Caja: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$  169.161,10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Total: 38.1250,-   En dólares: U$S0,-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ED1C24"/>
          <w:sz w:val="24"/>
          <w:szCs w:val="24"/>
          <w:lang w:eastAsia="es-AR"/>
        </w:rPr>
        <w:t>$ 9.496,08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$150.000,-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Cortez Raul Omar</w:t>
      </w:r>
      <w:r>
        <w:rPr>
          <w:rFonts w:eastAsia="Calibri" w:cs="DejaVu Sans"/>
          <w:color w:val="auto"/>
          <w:kern w:val="0"/>
          <w:sz w:val="22"/>
          <w:szCs w:val="22"/>
          <w:lang w:val="es-AR" w:eastAsia="es-AR" w:bidi="ar-SA"/>
        </w:rPr>
        <w:t>:</w:t>
      </w:r>
      <w:r>
        <w:rPr>
          <w:rFonts w:eastAsia="Calibri" w:cs="DejaVu Sans"/>
          <w:color w:val="CE181E"/>
          <w:kern w:val="0"/>
          <w:sz w:val="22"/>
          <w:szCs w:val="22"/>
          <w:lang w:val="es-AR" w:eastAsia="es-AR" w:bidi="ar-SA"/>
        </w:rPr>
        <w:t xml:space="preserve"> $9.496,08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Para la próxima reunión se debe contemplara la actualización de las cuotas de ingreso de los miembros especiales.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Se autoriza la compra de:</w:t>
      </w:r>
    </w:p>
    <w:p>
      <w:pPr>
        <w:pStyle w:val="Cuerpodetexto"/>
        <w:rPr/>
      </w:pPr>
      <w:r>
        <w:rPr/>
        <w:t>1 (una) barra de tensión de 10 tomas.</w:t>
      </w:r>
    </w:p>
    <w:p>
      <w:pPr>
        <w:pStyle w:val="Cuerpodetexto"/>
        <w:rPr/>
      </w:pPr>
      <w:r>
        <w:rPr/>
        <w:t xml:space="preserve">5 (cinco) organizadores de cable de 1 unidad de altura </w:t>
      </w:r>
    </w:p>
    <w:p>
      <w:pPr>
        <w:pStyle w:val="Cuerpodetexto"/>
        <w:rPr/>
      </w:pPr>
      <w:r>
        <w:rPr/>
        <w:t>1 (una) bornera de distribución eléctrica.</w:t>
      </w:r>
    </w:p>
    <w:p>
      <w:pPr>
        <w:pStyle w:val="Cuerpodetexto"/>
        <w:rPr/>
      </w:pPr>
      <w:r>
        <w:rPr/>
        <w:t>Terminales y lo que sea necesario para completar el ordenamiento eléctrico y de red del rack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 xml:space="preserve">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5-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STATUS DE CONEXIONES DE LOS MIEMBROS DEL IXP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Cuando se disponga de las nuevas capacidades los ISP se comprometen a contratar los siguientes anchos de banda:</w:t>
      </w:r>
    </w:p>
    <w:tbl>
      <w:tblPr>
        <w:tblW w:w="26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01"/>
        <w:gridCol w:w="945"/>
      </w:tblGrid>
      <w:tr>
        <w:trPr/>
        <w:tc>
          <w:tcPr>
            <w:tcW w:w="524" w:type="dxa"/>
            <w:tcBorders/>
            <w:vAlign w:val="bottom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/>
            </w:pPr>
            <w:r>
              <w:rPr>
                <w:rStyle w:val="Muydestacado"/>
                <w:rFonts w:ascii="Arial;sans-serif" w:hAnsi="Arial;sans-serif"/>
                <w:sz w:val="20"/>
              </w:rPr>
              <w:t>Miembro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/>
            </w:pPr>
            <w:r>
              <w:rPr>
                <w:rStyle w:val="Muydestacado"/>
                <w:rFonts w:ascii="Arial;sans-serif" w:hAnsi="Arial;sans-serif"/>
                <w:sz w:val="20"/>
              </w:rPr>
              <w:t>AB</w:t>
            </w:r>
          </w:p>
        </w:tc>
      </w:tr>
      <w:tr>
        <w:trPr/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1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On Power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600</w:t>
            </w:r>
          </w:p>
        </w:tc>
      </w:tr>
      <w:tr>
        <w:trPr/>
        <w:tc>
          <w:tcPr>
            <w:tcW w:w="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2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 xml:space="preserve">Intersat 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600</w:t>
            </w:r>
          </w:p>
        </w:tc>
      </w:tr>
      <w:tr>
        <w:trPr/>
        <w:tc>
          <w:tcPr>
            <w:tcW w:w="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3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Zetro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600</w:t>
            </w:r>
          </w:p>
        </w:tc>
      </w:tr>
      <w:tr>
        <w:trPr/>
        <w:tc>
          <w:tcPr>
            <w:tcW w:w="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4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ITIC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700</w:t>
            </w:r>
          </w:p>
        </w:tc>
      </w:tr>
      <w:tr>
        <w:trPr/>
        <w:tc>
          <w:tcPr>
            <w:tcW w:w="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5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XF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500</w:t>
            </w:r>
          </w:p>
        </w:tc>
      </w:tr>
      <w:tr>
        <w:trPr/>
        <w:tc>
          <w:tcPr>
            <w:tcW w:w="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6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Interredes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>
                <w:rFonts w:ascii="Arial;sans-serif" w:hAnsi="Arial;sans-serif"/>
                <w:sz w:val="20"/>
              </w:rPr>
            </w:pPr>
            <w:r>
              <w:rPr>
                <w:rFonts w:ascii="Arial;sans-serif" w:hAnsi="Arial;sans-serif"/>
                <w:sz w:val="20"/>
              </w:rPr>
              <w:t>500</w:t>
            </w:r>
          </w:p>
        </w:tc>
      </w:tr>
      <w:tr>
        <w:trPr/>
        <w:tc>
          <w:tcPr>
            <w:tcW w:w="524" w:type="dxa"/>
            <w:tcBorders/>
            <w:vAlign w:val="bottom"/>
          </w:tcPr>
          <w:p>
            <w:pPr>
              <w:pStyle w:val="Contenidodelatabla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/>
            </w:pPr>
            <w:r>
              <w:rPr>
                <w:rStyle w:val="Muydestacado"/>
                <w:rFonts w:ascii="Arial;sans-serif" w:hAnsi="Arial;sans-serif"/>
                <w:sz w:val="20"/>
              </w:rPr>
              <w:t>Total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Contenidodelatabla"/>
              <w:spacing w:before="0" w:after="160"/>
              <w:jc w:val="center"/>
              <w:rPr/>
            </w:pPr>
            <w:r>
              <w:rPr>
                <w:rStyle w:val="Muydestacado"/>
                <w:rFonts w:ascii="Arial;sans-serif" w:hAnsi="Arial;sans-serif"/>
                <w:sz w:val="20"/>
              </w:rPr>
              <w:t>3500</w:t>
            </w:r>
          </w:p>
        </w:tc>
      </w:tr>
    </w:tbl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Respecto al contrato de la UNSJ, se solicita la disminución de 100 Mbps a 40 Mbps debido a que por la pandemia no se está utilizando el ancho de banda contratado. El excedente de 60 Mbps debería ser facturado a quien está por encima de lo contratado.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BAJAS Y MODIFICACIONES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Se acuerda el ingreso de nuevos miembros entrevistados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* Guillermo Voguet Twainsat SRL (CUIT 30-71128144-0) Periodistas Argentinos 6119 - Barrio Camus Rivadavia - San Juan Te: 264-5040000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* Julio Nostray AustralNet (Jachal) Gestionando transporte al IXP Te: 264-7407288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* Hugo Leiria GEO Internet (Dpto. Rivadavia) Gestionando transporte al IXP Te: 264-5553927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Este ingreso será posible una vez que CLARO implemente las nuevas capacidades.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Cuando cumplan con los requisitos técnicos, se les solicitará la nota formal de solicitud de ingreso al IXP-UAQ y la asociación en CABASE. 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es-AR" w:eastAsia="es-AR" w:bidi="ar-SA"/>
        </w:rPr>
        <w:t xml:space="preserve">10 de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es-AR" w:eastAsia="es-AR" w:bidi="ar-SA"/>
        </w:rPr>
        <w:t>diciembre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s-AR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a las 9:30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17 y 24 de noviembre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encuentro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técnicos de cabase.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Las invitaciones ser enviaron por mail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El día 20/11/2020 se realizará la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Asamblea de CABASE. 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La información de como participara se envía por mail.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Application>LibreOffice/6.4.6.2$Linux_X86_64 LibreOffice_project/40$Build-2</Application>
  <Pages>4</Pages>
  <Words>504</Words>
  <Characters>2504</Characters>
  <CharactersWithSpaces>3024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2020-11-12T10:35:51Z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