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LESTRAS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 xml:space="preserve">FECHA: DÍA  </w:t>
      </w:r>
      <w:r>
        <w:rPr>
          <w:rFonts w:eastAsia="Times New Roman" w:cs="Times New Roman" w:ascii="Times New Roman" w:hAnsi="Times New Roman"/>
          <w:color w:val="auto"/>
          <w:kern w:val="0"/>
          <w:sz w:val="20"/>
          <w:szCs w:val="20"/>
          <w:lang w:val="es-AR" w:eastAsia="es-AR" w:bidi="ar-SA"/>
        </w:rPr>
        <w:t xml:space="preserve">11 de febrero </w:t>
      </w:r>
      <w:r>
        <w:rPr>
          <w:rFonts w:eastAsia="Times New Roman" w:cs="Times New Roman" w:ascii="Times New Roman" w:hAnsi="Times New Roman"/>
          <w:sz w:val="20"/>
          <w:szCs w:val="20"/>
          <w:lang w:eastAsia="es-AR"/>
        </w:rPr>
        <w:t>de 2021</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57" w:type="dxa"/>
        <w:jc w:val="left"/>
        <w:tblInd w:w="118" w:type="dxa"/>
        <w:tblCellMar>
          <w:top w:w="0" w:type="dxa"/>
          <w:left w:w="60" w:type="dxa"/>
          <w:bottom w:w="0" w:type="dxa"/>
          <w:right w:w="70" w:type="dxa"/>
        </w:tblCellMar>
      </w:tblPr>
      <w:tblGrid>
        <w:gridCol w:w="1246"/>
        <w:gridCol w:w="1358"/>
        <w:gridCol w:w="3121"/>
        <w:gridCol w:w="1831"/>
      </w:tblGrid>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NOMBRE</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APELLIDO</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RAZÓN SOCIAL A LA QUE REPRESENTA </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 xml:space="preserve">CARGO </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David</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Vega</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I-TIC</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auto"/>
                <w:kern w:val="0"/>
                <w:sz w:val="24"/>
                <w:szCs w:val="24"/>
                <w:lang w:val="es-AR" w:eastAsia="es-AR" w:bidi="ar-SA"/>
              </w:rPr>
            </w:pPr>
            <w:r>
              <w:rPr>
                <w:rFonts w:eastAsia="Times New Roman" w:cs="Times New Roman" w:ascii="Times New Roman" w:hAnsi="Times New Roman"/>
                <w:color w:val="auto"/>
                <w:kern w:val="0"/>
                <w:sz w:val="24"/>
                <w:szCs w:val="24"/>
                <w:lang w:val="es-AR" w:eastAsia="es-AR" w:bidi="ar-SA"/>
              </w:rPr>
              <w:t>On Power</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Raúl</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Cortez</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ZETRO</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Alejandro</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Cuadra</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Técnico IXP</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Ricardo</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Goldberg</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XF</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Calibri" w:hAnsi="Calibri" w:eastAsia="Calibri" w:cs="DejaVu Sans"/>
                <w:color w:val="auto"/>
                <w:kern w:val="0"/>
                <w:sz w:val="22"/>
                <w:szCs w:val="22"/>
                <w:lang w:val="es-AR" w:eastAsia="en-US" w:bidi="ar-SA"/>
              </w:rPr>
            </w:pPr>
            <w:r>
              <w:rPr>
                <w:rFonts w:eastAsia="Calibri" w:cs="DejaVu Sans"/>
                <w:color w:val="auto"/>
                <w:kern w:val="0"/>
                <w:sz w:val="22"/>
                <w:szCs w:val="22"/>
                <w:lang w:val="es-AR" w:eastAsia="en-US" w:bidi="ar-SA"/>
              </w:rPr>
              <w:t>Herbas</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Stephanie</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Passarelli</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Ariel</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Guillen</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Carlos</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Pechieu</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Gastón</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NetLink</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Romero</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Victor</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Gutierrez</w:t>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Iván</w:t>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r>
      <w:tr>
        <w:trPr>
          <w:trHeight w:val="300" w:hRule="atLeast"/>
        </w:trPr>
        <w:tc>
          <w:tcPr>
            <w:tcW w:w="124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1358"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31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pPr>
            <w:r>
              <w:rPr/>
            </w:r>
          </w:p>
        </w:tc>
        <w:tc>
          <w:tcPr>
            <w:tcW w:w="183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pPr>
      <w:r>
        <w:rPr>
          <w:rFonts w:eastAsia="Times New Roman" w:cs="Times New Roman" w:ascii="Times New Roman" w:hAnsi="Times New Roman"/>
          <w:sz w:val="20"/>
          <w:szCs w:val="20"/>
          <w:lang w:eastAsia="es-AR"/>
        </w:rPr>
        <w:t> </w:t>
      </w:r>
      <w:r>
        <w:rPr>
          <w:rFonts w:eastAsia="Times New Roman" w:cs="Times New Roman" w:ascii="Times New Roman" w:hAnsi="Times New Roman"/>
          <w:sz w:val="24"/>
          <w:szCs w:val="24"/>
          <w:lang w:eastAsia="es-AR"/>
        </w:rPr>
        <w:t>TEMARIO:</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ind w:left="0" w:right="0" w:hanging="360"/>
        <w:rPr/>
      </w:pPr>
      <w:r>
        <w:rPr>
          <w:rFonts w:eastAsia="Times New Roman" w:cs="Times New Roman" w:ascii="Times New Roman" w:hAnsi="Times New Roman"/>
          <w:sz w:val="20"/>
          <w:szCs w:val="20"/>
          <w:lang w:eastAsia="es-AR"/>
        </w:rPr>
        <w:t>1.</w:t>
      </w:r>
      <w:r>
        <w:rPr>
          <w:rFonts w:eastAsia="Times New Roman" w:cs="Times New Roman" w:ascii="Times New Roman" w:hAnsi="Times New Roman"/>
          <w:sz w:val="14"/>
          <w:szCs w:val="14"/>
          <w:lang w:eastAsia="es-AR"/>
        </w:rPr>
        <w:t xml:space="preserve">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 </w:t>
      </w:r>
      <w:r>
        <w:rPr>
          <w:rFonts w:eastAsia="Times New Roman" w:cs="Times New Roman" w:ascii="Times New Roman" w:hAnsi="Times New Roman"/>
          <w:sz w:val="16"/>
          <w:szCs w:val="16"/>
          <w:lang w:eastAsia="es-AR"/>
        </w:rPr>
        <w:tab/>
      </w:r>
      <w:hyperlink r:id="rId2" w:tgtFrame="Este enlace externo se abrirá en una nueva ventana">
        <w:r>
          <w:rPr>
            <w:rFonts w:eastAsia="Times New Roman" w:cs="Times New Roman" w:ascii="Times New Roman" w:hAnsi="Times New Roman"/>
            <w:color w:val="0000FF"/>
            <w:sz w:val="24"/>
            <w:szCs w:val="24"/>
            <w:u w:val="single"/>
            <w:lang w:eastAsia="es-AR"/>
          </w:rPr>
          <w:t>ixpsanjuan@listas.cabase.org.ar</w:t>
        </w:r>
      </w:hyperlink>
      <w:r>
        <w:rPr>
          <w:rFonts w:eastAsia="Times New Roman" w:cs="Times New Roman" w:ascii="Times New Roman" w:hAnsi="Times New Roman"/>
          <w:sz w:val="24"/>
          <w:szCs w:val="24"/>
          <w:lang w:eastAsia="es-AR"/>
        </w:rPr>
        <w:t xml:space="preserve"> : </w:t>
      </w:r>
      <w:r>
        <w:rPr>
          <w:rFonts w:eastAsia="Times New Roman" w:cs="Times New Roman" w:ascii="Times New Roman" w:hAnsi="Times New Roman"/>
          <w:color w:val="auto"/>
          <w:kern w:val="0"/>
          <w:sz w:val="24"/>
          <w:szCs w:val="24"/>
          <w:lang w:val="es-AR" w:eastAsia="es-AR" w:bidi="ar-SA"/>
        </w:rPr>
        <w:t>21 de diciembre</w:t>
      </w:r>
      <w:r>
        <w:rPr>
          <w:rFonts w:eastAsia="Times New Roman" w:cs="Times New Roman" w:ascii="Times New Roman" w:hAnsi="Times New Roman"/>
          <w:sz w:val="24"/>
          <w:szCs w:val="24"/>
          <w:lang w:eastAsia="es-AR"/>
        </w:rPr>
        <w:t xml:space="preserve"> de 2020 </w:t>
      </w:r>
    </w:p>
    <w:p>
      <w:pPr>
        <w:pStyle w:val="Normal"/>
        <w:spacing w:lineRule="auto" w:line="240" w:before="280" w:after="280"/>
        <w:ind w:left="0" w:right="0" w:hanging="36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Caja, se cuenta con el siguiente detalle al 08/02/2021</w:t>
      </w:r>
    </w:p>
    <w:p>
      <w:pPr>
        <w:pStyle w:val="Normal"/>
        <w:spacing w:lineRule="auto" w:line="240" w:before="280" w:after="280"/>
        <w:ind w:left="0" w:right="0" w:hanging="0"/>
        <w:contextualSpacing/>
        <w:rPr/>
      </w:pPr>
      <w:r>
        <w:rPr>
          <w:rFonts w:eastAsia="Times New Roman" w:cs="Times New Roman" w:ascii="Times New Roman" w:hAnsi="Times New Roman"/>
          <w:sz w:val="24"/>
          <w:szCs w:val="24"/>
          <w:lang w:eastAsia="es-AR"/>
        </w:rPr>
        <w:t xml:space="preserve">Caja: </w:t>
      </w:r>
      <w:r>
        <w:rPr>
          <w:rFonts w:eastAsia="Times New Roman" w:cs="Times New Roman" w:ascii="Times New Roman" w:hAnsi="Times New Roman"/>
          <w:color w:val="000000"/>
          <w:sz w:val="24"/>
          <w:szCs w:val="24"/>
          <w:lang w:eastAsia="es-AR"/>
        </w:rPr>
        <w:t xml:space="preserve">$ </w:t>
      </w:r>
      <w:r>
        <w:rPr>
          <w:rFonts w:eastAsia="Times New Roman" w:cs="Times New Roman" w:ascii="Times New Roman" w:hAnsi="Times New Roman"/>
          <w:color w:val="FF0000"/>
          <w:sz w:val="24"/>
          <w:szCs w:val="24"/>
          <w:lang w:eastAsia="es-AR"/>
        </w:rPr>
        <w:t>-127.130,32</w:t>
      </w:r>
    </w:p>
    <w:p>
      <w:pPr>
        <w:pStyle w:val="Normal"/>
        <w:spacing w:lineRule="auto" w:line="240" w:before="280" w:after="280"/>
        <w:ind w:left="0" w:right="0" w:hanging="0"/>
        <w:contextualSpacing/>
        <w:rPr/>
      </w:pPr>
      <w:r>
        <w:rPr>
          <w:rFonts w:eastAsia="Times New Roman" w:cs="Times New Roman" w:ascii="Times New Roman" w:hAnsi="Times New Roman"/>
          <w:sz w:val="24"/>
          <w:szCs w:val="24"/>
          <w:lang w:eastAsia="es-AR"/>
        </w:rPr>
        <w:t>Fondo de Reserva: Total: 38.1250,-   En dólares: U$S0,-</w:t>
      </w:r>
    </w:p>
    <w:p>
      <w:pPr>
        <w:pStyle w:val="Normal"/>
        <w:spacing w:lineRule="auto" w:line="240" w:before="280" w:after="280"/>
        <w:contextualSpacing/>
        <w:rPr/>
      </w:pPr>
      <w:r>
        <w:rPr>
          <w:rFonts w:eastAsia="Times New Roman" w:cs="Times New Roman" w:ascii="Times New Roman" w:hAnsi="Times New Roman"/>
          <w:sz w:val="24"/>
          <w:szCs w:val="24"/>
          <w:lang w:eastAsia="es-AR"/>
        </w:rPr>
        <w:t xml:space="preserve">Deuda: </w:t>
      </w:r>
      <w:r>
        <w:rPr>
          <w:rFonts w:eastAsia="Times New Roman" w:cs="Times New Roman" w:ascii="Times New Roman" w:hAnsi="Times New Roman"/>
          <w:color w:val="ED1C24"/>
          <w:sz w:val="24"/>
          <w:szCs w:val="24"/>
          <w:lang w:eastAsia="es-AR"/>
        </w:rPr>
        <w:t>$ 155.787,50</w:t>
      </w:r>
      <w:r>
        <w:rPr>
          <w:rFonts w:eastAsia="Times New Roman" w:cs="Times New Roman" w:ascii="Times New Roman" w:hAnsi="Times New Roman"/>
          <w:color w:val="000000"/>
          <w:sz w:val="24"/>
          <w:szCs w:val="24"/>
          <w:lang w:eastAsia="es-AR"/>
        </w:rPr>
        <w:t xml:space="preserve"> </w:t>
      </w:r>
    </w:p>
    <w:p>
      <w:pPr>
        <w:pStyle w:val="Normal"/>
        <w:spacing w:lineRule="auto" w:line="240" w:before="280" w:after="280"/>
        <w:contextualSpacing/>
        <w:rPr/>
      </w:pPr>
      <w:r>
        <w:rPr>
          <w:rFonts w:eastAsia="Times New Roman" w:cs="Times New Roman" w:ascii="Times New Roman" w:hAnsi="Times New Roman"/>
          <w:color w:val="000000"/>
          <w:sz w:val="24"/>
          <w:szCs w:val="24"/>
          <w:lang w:eastAsia="es-AR"/>
        </w:rPr>
        <w:t>Plazo Fijo: $15</w:t>
      </w:r>
      <w:r>
        <w:rPr>
          <w:rFonts w:eastAsia="Times New Roman" w:cs="Times New Roman" w:ascii="Times New Roman" w:hAnsi="Times New Roman"/>
          <w:color w:val="000000"/>
          <w:kern w:val="0"/>
          <w:sz w:val="24"/>
          <w:szCs w:val="24"/>
          <w:lang w:val="es-AR" w:eastAsia="es-AR" w:bidi="ar-SA"/>
        </w:rPr>
        <w:t>5.917,82</w:t>
      </w:r>
    </w:p>
    <w:p>
      <w:pPr>
        <w:pStyle w:val="Normal"/>
        <w:numPr>
          <w:ilvl w:val="0"/>
          <w:numId w:val="1"/>
        </w:numPr>
        <w:spacing w:before="0" w:after="0"/>
        <w:rPr/>
      </w:pPr>
      <w:r>
        <w:rPr>
          <w:rFonts w:eastAsia="Times New Roman" w:cs="Times New Roman" w:ascii="Times New Roman" w:hAnsi="Times New Roman"/>
          <w:color w:val="auto"/>
          <w:kern w:val="0"/>
          <w:sz w:val="24"/>
          <w:szCs w:val="24"/>
          <w:lang w:val="es-AR" w:eastAsia="es-AR" w:bidi="ar-SA"/>
        </w:rPr>
        <w:t>Cortez Raul Omar</w:t>
      </w:r>
      <w:r>
        <w:rPr>
          <w:rFonts w:eastAsia="Calibri" w:cs="DejaVu Sans"/>
          <w:color w:val="auto"/>
          <w:kern w:val="0"/>
          <w:sz w:val="22"/>
          <w:szCs w:val="22"/>
          <w:lang w:val="es-AR" w:eastAsia="es-AR" w:bidi="ar-SA"/>
        </w:rPr>
        <w:t>:</w:t>
      </w:r>
      <w:r>
        <w:rPr>
          <w:rFonts w:eastAsia="Calibri" w:cs="DejaVu Sans"/>
          <w:color w:val="CE181E"/>
          <w:kern w:val="0"/>
          <w:sz w:val="22"/>
          <w:szCs w:val="22"/>
          <w:lang w:val="es-AR" w:eastAsia="es-AR" w:bidi="ar-SA"/>
        </w:rPr>
        <w:t xml:space="preserve"> $53.927,28</w:t>
      </w:r>
    </w:p>
    <w:p>
      <w:pPr>
        <w:pStyle w:val="Normal"/>
        <w:numPr>
          <w:ilvl w:val="0"/>
          <w:numId w:val="1"/>
        </w:numPr>
        <w:spacing w:before="0" w:after="0"/>
        <w:rPr>
          <w:color w:val="000000"/>
        </w:rPr>
      </w:pPr>
      <w:r>
        <w:rPr>
          <w:color w:val="000000"/>
        </w:rPr>
        <w:t xml:space="preserve">GPS SAN JUAN S.R.L.: </w:t>
      </w:r>
      <w:r>
        <w:rPr>
          <w:color w:val="FF0000"/>
        </w:rPr>
        <w:t>$56.940,18</w:t>
      </w:r>
    </w:p>
    <w:p>
      <w:pPr>
        <w:pStyle w:val="Normal"/>
        <w:numPr>
          <w:ilvl w:val="0"/>
          <w:numId w:val="1"/>
        </w:numPr>
        <w:spacing w:before="0" w:after="0"/>
        <w:rPr>
          <w:color w:val="000000"/>
        </w:rPr>
      </w:pPr>
      <w:r>
        <w:rPr>
          <w:color w:val="000000"/>
        </w:rPr>
        <w:t xml:space="preserve">PECHIEU GASTON: </w:t>
      </w:r>
      <w:r>
        <w:rPr>
          <w:color w:val="FF0000"/>
        </w:rPr>
        <w:t>$26.156,57</w:t>
      </w:r>
    </w:p>
    <w:p>
      <w:pPr>
        <w:pStyle w:val="Normal"/>
        <w:numPr>
          <w:ilvl w:val="0"/>
          <w:numId w:val="1"/>
        </w:numPr>
        <w:spacing w:before="0" w:after="0"/>
        <w:rPr>
          <w:color w:val="000000"/>
        </w:rPr>
      </w:pPr>
      <w:r>
        <w:rPr>
          <w:rFonts w:eastAsia="Calibri" w:cs="DejaVu Sans"/>
          <w:color w:val="000000"/>
          <w:kern w:val="0"/>
          <w:sz w:val="22"/>
          <w:szCs w:val="22"/>
          <w:lang w:val="es-AR" w:eastAsia="en-US" w:bidi="ar-SA"/>
        </w:rPr>
        <w:t>VEGA CESAR AUGUSTO:</w:t>
      </w:r>
      <w:r>
        <w:rPr>
          <w:color w:val="FF0000"/>
        </w:rPr>
        <w:t xml:space="preserve"> $18.763,47</w:t>
      </w:r>
    </w:p>
    <w:p>
      <w:pPr>
        <w:pStyle w:val="Normal"/>
        <w:spacing w:lineRule="auto" w:line="240" w:before="280" w:after="280"/>
        <w:rPr/>
      </w:pPr>
      <w:r>
        <w:rPr>
          <w:rFonts w:eastAsia="Times New Roman" w:cs="Times New Roman" w:ascii="Times New Roman" w:hAnsi="Times New Roman"/>
          <w:b/>
          <w:bCs/>
          <w:sz w:val="24"/>
          <w:szCs w:val="24"/>
          <w:lang w:eastAsia="es-AR"/>
        </w:rPr>
        <w:t>El día 08/02/2021 se recibe transferencia de GSP abonando el saldo adeudado.</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 xml:space="preserve">Alejandro cometa la necesidad de compra un SFP+ para resolver un tema de OCA de Netflix, </w:t>
      </w:r>
      <w:r>
        <w:rPr>
          <w:rFonts w:eastAsia="Times New Roman" w:cs="Times New Roman" w:ascii="Times New Roman" w:hAnsi="Times New Roman"/>
          <w:b/>
          <w:bCs/>
          <w:sz w:val="24"/>
          <w:szCs w:val="24"/>
          <w:lang w:eastAsia="es-AR"/>
        </w:rPr>
        <w:t>se aprueba la compra de los SFP+ necesarios para resolver el problemas</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S</w:t>
      </w:r>
      <w:r>
        <w:rPr>
          <w:rFonts w:eastAsia="Times New Roman" w:cs="Times New Roman" w:ascii="Times New Roman" w:hAnsi="Times New Roman"/>
          <w:b/>
          <w:bCs/>
          <w:sz w:val="24"/>
          <w:szCs w:val="24"/>
          <w:lang w:eastAsia="es-AR"/>
        </w:rPr>
        <w:t>e trata el tema del gasto que originó la implementación del OCA de netflix.  La nacionalización del servidor fue de $</w:t>
      </w:r>
      <w:r>
        <w:rPr>
          <w:rFonts w:eastAsia="Times New Roman" w:cs="Times New Roman" w:ascii="Times New Roman" w:hAnsi="Times New Roman"/>
          <w:b/>
          <w:bCs/>
          <w:sz w:val="24"/>
          <w:szCs w:val="24"/>
          <w:lang w:eastAsia="es-AR"/>
        </w:rPr>
        <w:t xml:space="preserve">235.000,- Este gasto fue a través de SyT, es decir SyT realizó todo el trámite y presentó la factura a CABASE. </w:t>
      </w:r>
    </w:p>
    <w:p>
      <w:pPr>
        <w:pStyle w:val="Normal"/>
        <w:spacing w:lineRule="auto" w:line="240" w:before="280" w:after="280"/>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sin novedad</w:t>
      </w:r>
    </w:p>
    <w:p>
      <w:pPr>
        <w:pStyle w:val="Normal"/>
        <w:spacing w:lineRule="auto" w:line="240" w:before="280" w:after="280"/>
        <w:rPr/>
      </w:pPr>
      <w:r>
        <w:rPr>
          <w:rFonts w:eastAsia="Times New Roman" w:cs="Times New Roman" w:ascii="Times New Roman" w:hAnsi="Times New Roman"/>
          <w:b/>
          <w:bCs/>
          <w:sz w:val="24"/>
          <w:szCs w:val="24"/>
          <w:lang w:eastAsia="es-AR"/>
        </w:rPr>
        <w:t xml:space="preserve">5- </w:t>
      </w:r>
      <w:r>
        <w:rPr>
          <w:rFonts w:eastAsia="Times New Roman" w:cs="Times New Roman" w:ascii="Times New Roman" w:hAnsi="Times New Roman"/>
          <w:sz w:val="24"/>
          <w:szCs w:val="24"/>
          <w:lang w:eastAsia="es-AR"/>
        </w:rPr>
        <w:t>STATUS DE CONEXIONES DE LOS MIEMBROS DEL IXP</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Ariel Pasarelli comenta la configuración del transporte para legrar una capacidad de 15Gbps. Se va a configurar los dos caminos con bonding (no se si está bien escrito, por favor confirmar) en 7,5 Gbps cada enlace. Esto significa que si se cae un enlace, se disminuye la capacidad a la mitad. Los que estén traficando por ese camino se quedan sin nada.</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Respecto al SLA 99,5 con la red segurizada actual, esto pasaría a 99,0 es decir que pasa de 4 horas mensuales a 6 horas mensuales.</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El tiempo de implementación es de 60 días a partir del compromiso de tráfico.</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Esto es una solución provisoria que pasará a definitiva por aumento de consumo superior a 20 Gbps o en algún mantenimiento en Bs.As. para encontrar enlaces nuevos.</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Gastón comenta que por bajar la calidad de SLA solicita una baja de precios, Ariel comenta que es imposible.</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Miguel Morandi comenta que en el agregado de enlace anterior existieron problemas con equipos de CLARO en Córdoba donde se dejaba con un servicio muy restringido a algunos miembros y otros no tenían ese problema. Esto causaba mucho malestar en los miembros perjudicados, cosa que se puede producir nuevamente en esta configuración sin redundancia en la última milla.</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Stephanie comentó que no hay agregación metro, la tecnología en Córdoba es metro ethernet con dos enlaces de 10 Gbps.</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La configuración quedará con un grupo de miembros utilizando uno de los enlaces de 7,5 Gbps y otro grupo por el otro de 7,5 Gbps, lo que lleva a que si se cae un enlace el grupo que se encuentre en ese enlace quedará sin transporte. Esto será una configuración interna del IXP.</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Se plantea la disminución del tráfico debido a la instalación del OCA de Netflix como principal factor, lo que hace revisar la necesidad de revisar los servicios contratados de transporte, Miguel Morandi plantea la posibilidad de realizar una reunión interna para definir este tema, la cual se fija para el jueves 18/02 a las 9:30</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 xml:space="preserve">Facundo comenta la necesidad de contar un un informe más detallado de los consumos porque el informe recibido desde CABASE con el 95% no nos es de gran utilidad porque tenemos contratos fijos y se debe </w:t>
      </w:r>
      <w:r>
        <w:rPr>
          <w:rFonts w:eastAsia="Times New Roman" w:cs="Times New Roman" w:ascii="Times New Roman" w:hAnsi="Times New Roman"/>
          <w:color w:val="auto"/>
          <w:kern w:val="0"/>
          <w:sz w:val="24"/>
          <w:szCs w:val="24"/>
          <w:lang w:val="es-AR" w:eastAsia="es-AR" w:bidi="ar-SA"/>
        </w:rPr>
        <w:t>regularizar</w:t>
      </w:r>
      <w:r>
        <w:rPr>
          <w:rFonts w:eastAsia="Times New Roman" w:cs="Times New Roman" w:ascii="Times New Roman" w:hAnsi="Times New Roman"/>
          <w:sz w:val="24"/>
          <w:szCs w:val="24"/>
          <w:lang w:eastAsia="es-AR"/>
        </w:rPr>
        <w:t xml:space="preserve"> la situación de ISP que están traficando por encima de lo contratado de transporte consumiendo recursos de otros miembros.</w:t>
      </w:r>
    </w:p>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w:t>
      </w:r>
      <w:r>
        <w:rPr>
          <w:rFonts w:eastAsia="Times New Roman" w:cs="Times New Roman" w:ascii="Times New Roman" w:hAnsi="Times New Roman"/>
          <w:sz w:val="24"/>
          <w:szCs w:val="24"/>
          <w:lang w:eastAsia="es-AR"/>
        </w:rPr>
        <w:t xml:space="preserve">uan Carlos cometa que la baja del tráfico es transitoria porque en poco tiempo aparecen contenidos nuevos (como ejemplo Disney+) que hace aumentar nuevamente el tráfico. Para tener en cuenta en la nueva </w:t>
      </w:r>
      <w:r>
        <w:rPr>
          <w:rFonts w:eastAsia="Times New Roman" w:cs="Times New Roman" w:ascii="Times New Roman" w:hAnsi="Times New Roman"/>
          <w:sz w:val="24"/>
          <w:szCs w:val="24"/>
          <w:lang w:eastAsia="es-AR"/>
        </w:rPr>
        <w:t>distribución.</w:t>
      </w:r>
    </w:p>
    <w:p>
      <w:pPr>
        <w:pStyle w:val="Normal"/>
        <w:spacing w:lineRule="auto" w:line="240" w:before="280" w:after="280"/>
        <w:rPr>
          <w:rFonts w:ascii="Times New Roman" w:hAnsi="Times New Roman" w:eastAsia="Times New Roman" w:cs="Times New Roman"/>
          <w:sz w:val="24"/>
          <w:szCs w:val="24"/>
          <w:lang w:eastAsia="es-AR"/>
        </w:rPr>
      </w:pPr>
      <w:r>
        <w:rPr/>
      </w:r>
    </w:p>
    <w:p>
      <w:pPr>
        <w:pStyle w:val="Normal"/>
        <w:spacing w:lineRule="auto" w:line="240" w:before="280" w:after="280"/>
        <w:rPr>
          <w:rFonts w:ascii="Times New Roman" w:hAnsi="Times New Roman" w:eastAsia="Times New Roman" w:cs="Times New Roman"/>
          <w:sz w:val="24"/>
          <w:szCs w:val="24"/>
          <w:lang w:eastAsia="es-AR"/>
        </w:rPr>
      </w:pPr>
      <w:r>
        <w:rPr/>
      </w:r>
    </w:p>
    <w:p>
      <w:pPr>
        <w:pStyle w:val="Normal"/>
        <w:spacing w:lineRule="auto" w:line="240" w:before="280" w:after="280"/>
        <w:rPr/>
      </w:pPr>
      <w:r>
        <w:rPr>
          <w:rFonts w:eastAsia="Times New Roman" w:cs="Times New Roman" w:ascii="Times New Roman" w:hAnsi="Times New Roman"/>
          <w:sz w:val="24"/>
          <w:szCs w:val="24"/>
          <w:lang w:eastAsia="es-AR"/>
        </w:rPr>
        <w:t>6- BAJAS Y MODIFICACIONES</w:t>
      </w:r>
    </w:p>
    <w:p>
      <w:pPr>
        <w:pStyle w:val="Normal"/>
        <w:spacing w:lineRule="auto" w:line="240" w:before="280" w:after="280"/>
        <w:rPr/>
      </w:pPr>
      <w:r>
        <w:rPr>
          <w:rFonts w:eastAsia="Times New Roman" w:cs="Times New Roman" w:ascii="Times New Roman" w:hAnsi="Times New Roman"/>
          <w:b/>
          <w:bCs/>
          <w:sz w:val="24"/>
          <w:szCs w:val="24"/>
          <w:lang w:eastAsia="es-AR"/>
        </w:rPr>
        <w:t xml:space="preserve">Gobierno se comunicó con Alejandro Cuadra para avanzar con la conexión al IPX. </w:t>
      </w:r>
      <w:r>
        <w:rPr>
          <w:rFonts w:eastAsia="Times New Roman" w:cs="Times New Roman" w:ascii="Times New Roman" w:hAnsi="Times New Roman"/>
          <w:b/>
          <w:bCs/>
          <w:sz w:val="24"/>
          <w:szCs w:val="24"/>
          <w:lang w:eastAsia="es-AR"/>
        </w:rPr>
        <w:t xml:space="preserve">Rodrigo Salinas técnicamente responsable no tienen implementado BGP y el equipo que tienen que utilizar está apagado, por otra parte el media converter de gobierno falla la fuente y sería bueno que cambien la conexión por un SFP. </w:t>
      </w:r>
      <w:r>
        <w:rPr>
          <w:rFonts w:eastAsia="Times New Roman" w:cs="Times New Roman" w:ascii="Times New Roman" w:hAnsi="Times New Roman"/>
          <w:b/>
          <w:bCs/>
          <w:sz w:val="24"/>
          <w:szCs w:val="24"/>
          <w:lang w:eastAsia="es-AR"/>
        </w:rPr>
        <w:t xml:space="preserve">Tienen intenciones de avanzar con la conexión pero tienen otras prioridades en este momento. </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ind w:left="720" w:right="0" w:hanging="0"/>
        <w:contextualSpacing/>
        <w:rPr/>
      </w:pPr>
      <w:r>
        <w:rPr>
          <w:rFonts w:eastAsia="Times New Roman" w:cs="Times New Roman" w:ascii="Times New Roman" w:hAnsi="Times New Roman"/>
          <w:sz w:val="24"/>
          <w:szCs w:val="24"/>
          <w:lang w:eastAsia="es-AR"/>
        </w:rPr>
        <w:t xml:space="preserve">FECHA DE PRÓXIMA REUNIÓN: </w:t>
      </w:r>
      <w:r>
        <w:rPr>
          <w:rFonts w:eastAsia="Times New Roman" w:cs="Times New Roman" w:ascii="Times New Roman" w:hAnsi="Times New Roman"/>
          <w:b/>
          <w:sz w:val="24"/>
          <w:szCs w:val="24"/>
          <w:lang w:eastAsia="es-AR"/>
        </w:rPr>
        <w:t xml:space="preserve"> </w:t>
      </w:r>
      <w:r>
        <w:rPr>
          <w:rFonts w:eastAsia="Times New Roman" w:cs="Times New Roman" w:ascii="Times New Roman" w:hAnsi="Times New Roman"/>
          <w:b/>
          <w:color w:val="auto"/>
          <w:kern w:val="0"/>
          <w:sz w:val="24"/>
          <w:szCs w:val="24"/>
          <w:lang w:val="es-AR" w:eastAsia="es-AR" w:bidi="ar-SA"/>
        </w:rPr>
        <w:t>11 de marzo de 2021</w:t>
      </w:r>
      <w:r>
        <w:rPr>
          <w:rFonts w:eastAsia="Times New Roman" w:cs="Times New Roman" w:ascii="Times New Roman" w:hAnsi="Times New Roman"/>
          <w:b/>
          <w:sz w:val="24"/>
          <w:szCs w:val="24"/>
          <w:lang w:eastAsia="es-AR"/>
        </w:rPr>
        <w:t xml:space="preserve">, </w:t>
      </w:r>
      <w:r>
        <w:rPr>
          <w:rFonts w:eastAsia="Times New Roman" w:cs="Times New Roman" w:ascii="Times New Roman" w:hAnsi="Times New Roman"/>
          <w:b/>
          <w:bCs/>
          <w:sz w:val="24"/>
          <w:szCs w:val="24"/>
          <w:lang w:eastAsia="es-AR"/>
        </w:rPr>
        <w:t>a las 9:30</w:t>
      </w:r>
    </w:p>
    <w:p>
      <w:pPr>
        <w:pStyle w:val="Normal"/>
        <w:spacing w:lineRule="auto" w:line="240" w:before="280" w:after="280"/>
        <w:ind w:left="720" w:right="0" w:hanging="0"/>
        <w:contextualSpacing/>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8- TEMAS VARIOS</w:t>
      </w:r>
      <w:r>
        <w:rPr>
          <w:rFonts w:eastAsia="Times New Roman" w:cs="Times New Roman" w:ascii="Times New Roman" w:hAnsi="Times New Roman"/>
          <w:sz w:val="24"/>
          <w:szCs w:val="24"/>
          <w:lang w:eastAsia="es-AR"/>
        </w:rPr>
        <w:t>A</w:t>
      </w:r>
    </w:p>
    <w:p>
      <w:pPr>
        <w:pStyle w:val="Normal"/>
        <w:spacing w:lineRule="auto" w:line="240" w:before="280" w:after="280"/>
        <w:rPr/>
      </w:pPr>
      <w:r>
        <w:rPr>
          <w:rFonts w:eastAsia="Times New Roman" w:cs="Times New Roman" w:ascii="Times New Roman" w:hAnsi="Times New Roman"/>
          <w:sz w:val="24"/>
          <w:szCs w:val="24"/>
          <w:lang w:eastAsia="es-AR"/>
        </w:rPr>
        <w:t xml:space="preserve">Juan Carlos comenta que aquellas empresas que quieran tomar los cursos de LACNIC lo pueden hacer a través de la membrecía de CABASE. </w:t>
      </w:r>
    </w:p>
    <w:p>
      <w:pPr>
        <w:pStyle w:val="Normal"/>
        <w:spacing w:lineRule="auto" w:line="240" w:before="280" w:after="280"/>
        <w:rPr>
          <w:rFonts w:ascii="Times New Roman" w:hAnsi="Times New Roman" w:eastAsia="Times New Roman" w:cs="Times New Roman"/>
          <w:sz w:val="24"/>
          <w:szCs w:val="24"/>
          <w:lang w:eastAsia="es-AR"/>
        </w:rPr>
      </w:pPr>
      <w:r>
        <w:rPr/>
        <w:t>Miguel Morandi comenta que tal vez la gente de Gobierno esté interesado en esta capacitación. También comentó que cualquiera que tenga recursos asignados por LACNIC pueden tomar los cursos a través del portal Mi Lacnic y puede acceder a los cursos o invitar a alguien a tomar esa capacitación.</w:t>
      </w:r>
    </w:p>
    <w:p>
      <w:pPr>
        <w:pStyle w:val="Normal"/>
        <w:spacing w:lineRule="auto" w:line="240" w:before="280" w:after="280"/>
        <w:rPr>
          <w:rFonts w:ascii="Times New Roman" w:hAnsi="Times New Roman" w:eastAsia="Times New Roman" w:cs="Times New Roman"/>
          <w:sz w:val="24"/>
          <w:szCs w:val="24"/>
          <w:lang w:eastAsia="es-AR"/>
        </w:rPr>
      </w:pPr>
      <w:r>
        <w:rPr/>
        <w:t xml:space="preserve">Juan Carlos comenta el llamado a elecciones en CABASE y los invita a participar de las elecciones. </w:t>
      </w:r>
    </w:p>
    <w:p>
      <w:pPr>
        <w:pStyle w:val="Normal"/>
        <w:spacing w:lineRule="auto" w:line="240" w:before="280" w:after="280"/>
        <w:rPr>
          <w:rFonts w:ascii="Times New Roman" w:hAnsi="Times New Roman" w:eastAsia="Times New Roman" w:cs="Times New Roman"/>
          <w:sz w:val="24"/>
          <w:szCs w:val="24"/>
          <w:lang w:eastAsia="es-AR"/>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0"/>
        <w:szCs w:val="22"/>
        <w:lang w:val="es-A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DejaVu Sans"/>
      <w:color w:val="auto"/>
      <w:kern w:val="0"/>
      <w:sz w:val="22"/>
      <w:szCs w:val="22"/>
      <w:lang w:val="es-AR" w:eastAsia="en-US" w:bidi="ar-SA"/>
    </w:rPr>
  </w:style>
  <w:style w:type="character" w:styleId="DefaultParagraphFont">
    <w:name w:val="Default Paragraph Font"/>
    <w:qFormat/>
    <w:rPr/>
  </w:style>
  <w:style w:type="character" w:styleId="TextosinformatoCar">
    <w:name w:val="Texto sin formato Car"/>
    <w:basedOn w:val="DefaultParagraphFont"/>
    <w:qFormat/>
    <w:rPr>
      <w:rFonts w:ascii="Times New Roman" w:hAnsi="Times New Roman" w:eastAsia="Times New Roman" w:cs="Times New Roman"/>
      <w:sz w:val="24"/>
      <w:szCs w:val="24"/>
      <w:lang w:eastAsia="es-AR"/>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qFormat/>
    <w:pPr>
      <w:spacing w:before="0" w:after="160"/>
      <w:ind w:left="720" w:right="0" w:hanging="0"/>
      <w:contextualSpacing/>
    </w:pPr>
    <w:rPr/>
  </w:style>
  <w:style w:type="paragraph" w:styleId="PlainText">
    <w:name w:val="Plain Text"/>
    <w:basedOn w:val="Normal"/>
    <w:qFormat/>
    <w:pPr>
      <w:spacing w:lineRule="auto" w:line="240" w:before="280" w:after="280"/>
    </w:pPr>
    <w:rPr>
      <w:rFonts w:ascii="Times New Roman" w:hAnsi="Times New Roman" w:eastAsia="Times New Roman" w:cs="Times New Roman"/>
      <w:sz w:val="24"/>
      <w:szCs w:val="24"/>
      <w:lang w:eastAsia="es-A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818</TotalTime>
  <Application>LibreOffice/6.4.6.2$Linux_X86_64 LibreOffice_project/40$Build-2</Application>
  <Pages>4</Pages>
  <Words>934</Words>
  <Characters>4601</Characters>
  <CharactersWithSpaces>5540</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2019-07-30T13:40:00Z</dcterms:created>
  <dc:creator>Miguel Morandi</dc:creator>
  <dc:description/>
  <dc:language>es-AR</dc:language>
  <cp:lastModifiedBy/>
  <dcterms:modified xsi:type="dcterms:W3CDTF">2021-02-19T10:45:42Z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