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 xml:space="preserve">FECHA: DÍA  </w:t>
      </w:r>
      <w:r>
        <w:rPr>
          <w:rFonts w:eastAsia="Times New Roman" w:cs="Times New Roman" w:ascii="Times New Roman" w:hAnsi="Times New Roman"/>
          <w:color w:val="auto"/>
          <w:kern w:val="0"/>
          <w:sz w:val="20"/>
          <w:szCs w:val="20"/>
          <w:lang w:val="es-AR" w:eastAsia="es-AR" w:bidi="ar-SA"/>
        </w:rPr>
        <w:t xml:space="preserve">11 de marzo </w:t>
      </w:r>
      <w:r>
        <w:rPr>
          <w:rFonts w:eastAsia="Times New Roman" w:cs="Times New Roman" w:ascii="Times New Roman" w:hAnsi="Times New Roman"/>
          <w:sz w:val="20"/>
          <w:szCs w:val="20"/>
          <w:lang w:eastAsia="es-AR"/>
        </w:rPr>
        <w:t>de 2021</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Hernán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Ariel</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Carlos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Pechieu</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Gastón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Martínez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Víctor</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w:t>
      </w:r>
      <w:r>
        <w:rPr>
          <w:rFonts w:eastAsia="Times New Roman" w:cs="Times New Roman" w:ascii="Times New Roman" w:hAnsi="Times New Roman"/>
          <w:color w:val="auto"/>
          <w:kern w:val="0"/>
          <w:sz w:val="24"/>
          <w:szCs w:val="24"/>
          <w:lang w:val="es-AR" w:eastAsia="es-AR" w:bidi="ar-SA"/>
        </w:rPr>
        <w:t>19</w:t>
      </w:r>
      <w:r>
        <w:rPr>
          <w:rFonts w:eastAsia="Times New Roman" w:cs="Times New Roman" w:ascii="Times New Roman" w:hAnsi="Times New Roman"/>
          <w:color w:val="auto"/>
          <w:kern w:val="0"/>
          <w:sz w:val="24"/>
          <w:szCs w:val="24"/>
          <w:lang w:val="es-AR" w:eastAsia="es-AR" w:bidi="ar-SA"/>
        </w:rPr>
        <w:t xml:space="preserve"> de </w:t>
      </w:r>
      <w:r>
        <w:rPr>
          <w:rFonts w:eastAsia="Times New Roman" w:cs="Times New Roman" w:ascii="Times New Roman" w:hAnsi="Times New Roman"/>
          <w:color w:val="auto"/>
          <w:kern w:val="0"/>
          <w:sz w:val="24"/>
          <w:szCs w:val="24"/>
          <w:lang w:val="es-AR" w:eastAsia="es-AR" w:bidi="ar-SA"/>
        </w:rPr>
        <w:t>febrero</w:t>
      </w:r>
      <w:r>
        <w:rPr>
          <w:rFonts w:eastAsia="Times New Roman" w:cs="Times New Roman" w:ascii="Times New Roman" w:hAnsi="Times New Roman"/>
          <w:sz w:val="24"/>
          <w:szCs w:val="24"/>
          <w:lang w:eastAsia="es-AR"/>
        </w:rPr>
        <w:t xml:space="preserve"> de 202</w:t>
      </w:r>
      <w:r>
        <w:rPr>
          <w:rFonts w:eastAsia="Times New Roman" w:cs="Times New Roman" w:ascii="Times New Roman" w:hAnsi="Times New Roman"/>
          <w:sz w:val="24"/>
          <w:szCs w:val="24"/>
          <w:lang w:eastAsia="es-AR"/>
        </w:rPr>
        <w:t>1</w:t>
      </w:r>
      <w:r>
        <w:rPr>
          <w:rFonts w:eastAsia="Times New Roman" w:cs="Times New Roman" w:ascii="Times New Roman" w:hAnsi="Times New Roman"/>
          <w:sz w:val="24"/>
          <w:szCs w:val="24"/>
          <w:lang w:eastAsia="es-AR"/>
        </w:rPr>
        <w:t xml:space="preserve">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2.       Caja, se cuenta con el siguiente detalle al </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 xml:space="preserve">Caja: </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Total: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 xml:space="preserve">Plazo Fijo: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De la reunión mantenida entre los ISP de la mesa, se definió que la ampliación a 15 Gbps no sería necesaria por ahora debido a que el tráfico a disminuido mucho por la entrada del cache de Netflix y la desconexión temporaria de GPS. Por lo que la distribución de la capacidad disponible de 10 Gbps quedará de la siguiente manera: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bl>
      <w:tblPr>
        <w:tblW w:w="4817" w:type="dxa"/>
        <w:jc w:val="left"/>
        <w:tblInd w:w="28" w:type="dxa"/>
        <w:tblCellMar>
          <w:top w:w="28" w:type="dxa"/>
          <w:left w:w="28" w:type="dxa"/>
          <w:bottom w:w="28" w:type="dxa"/>
          <w:right w:w="28" w:type="dxa"/>
        </w:tblCellMar>
      </w:tblPr>
      <w:tblGrid>
        <w:gridCol w:w="371"/>
        <w:gridCol w:w="2261"/>
        <w:gridCol w:w="2185"/>
      </w:tblGrid>
      <w:tr>
        <w:trPr>
          <w:trHeight w:val="311" w:hRule="atLeast"/>
        </w:trPr>
        <w:tc>
          <w:tcPr>
            <w:tcW w:w="371" w:type="dxa"/>
            <w:tcBorders/>
            <w:vAlign w:val="center"/>
          </w:tcPr>
          <w:p>
            <w:pPr>
              <w:pStyle w:val="Contenidodelatabla"/>
              <w:spacing w:before="0" w:after="160"/>
              <w:jc w:val="right"/>
              <w:rPr/>
            </w:pPr>
            <w:r>
              <w:rPr/>
            </w:r>
          </w:p>
        </w:tc>
        <w:tc>
          <w:tcPr>
            <w:tcW w:w="2261" w:type="dxa"/>
            <w:tcBorders/>
            <w:vAlign w:val="center"/>
          </w:tcPr>
          <w:p>
            <w:pPr>
              <w:pStyle w:val="Contenidodelatabla"/>
              <w:spacing w:before="0" w:after="160"/>
              <w:jc w:val="left"/>
              <w:rPr/>
            </w:pPr>
            <w:r>
              <w:rPr/>
              <w:t>Miembro del IXP</w:t>
            </w:r>
          </w:p>
        </w:tc>
        <w:tc>
          <w:tcPr>
            <w:tcW w:w="2185" w:type="dxa"/>
            <w:tcBorders/>
            <w:vAlign w:val="center"/>
          </w:tcPr>
          <w:p>
            <w:pPr>
              <w:pStyle w:val="Contenidodelatabla"/>
              <w:spacing w:before="0" w:after="160"/>
              <w:jc w:val="right"/>
              <w:rPr/>
            </w:pPr>
            <w:r>
              <w:rPr/>
              <w:t>Contrato en Mbps</w:t>
            </w:r>
          </w:p>
        </w:tc>
      </w:tr>
      <w:tr>
        <w:trPr>
          <w:trHeight w:val="311" w:hRule="atLeast"/>
        </w:trPr>
        <w:tc>
          <w:tcPr>
            <w:tcW w:w="371" w:type="dxa"/>
            <w:tcBorders/>
            <w:vAlign w:val="center"/>
          </w:tcPr>
          <w:p>
            <w:pPr>
              <w:pStyle w:val="Contenidodelatabla"/>
              <w:spacing w:before="0" w:after="160"/>
              <w:jc w:val="right"/>
              <w:rPr/>
            </w:pPr>
            <w:r>
              <w:rPr/>
              <w:t>1</w:t>
            </w:r>
          </w:p>
        </w:tc>
        <w:tc>
          <w:tcPr>
            <w:tcW w:w="2261" w:type="dxa"/>
            <w:tcBorders/>
            <w:vAlign w:val="center"/>
          </w:tcPr>
          <w:p>
            <w:pPr>
              <w:pStyle w:val="Contenidodelatabla"/>
              <w:spacing w:before="0" w:after="160"/>
              <w:jc w:val="left"/>
              <w:rPr/>
            </w:pPr>
            <w:r>
              <w:rPr/>
              <w:t>UNSJ</w:t>
            </w:r>
          </w:p>
        </w:tc>
        <w:tc>
          <w:tcPr>
            <w:tcW w:w="2185" w:type="dxa"/>
            <w:tcBorders/>
            <w:vAlign w:val="center"/>
          </w:tcPr>
          <w:p>
            <w:pPr>
              <w:pStyle w:val="Contenidodelatabla"/>
              <w:spacing w:before="0" w:after="160"/>
              <w:jc w:val="right"/>
              <w:rPr/>
            </w:pPr>
            <w:r>
              <w:rPr/>
              <w:t>20</w:t>
            </w:r>
          </w:p>
        </w:tc>
      </w:tr>
      <w:tr>
        <w:trPr>
          <w:trHeight w:val="311" w:hRule="atLeast"/>
        </w:trPr>
        <w:tc>
          <w:tcPr>
            <w:tcW w:w="371" w:type="dxa"/>
            <w:tcBorders/>
            <w:vAlign w:val="center"/>
          </w:tcPr>
          <w:p>
            <w:pPr>
              <w:pStyle w:val="Contenidodelatabla"/>
              <w:spacing w:before="0" w:after="160"/>
              <w:jc w:val="right"/>
              <w:rPr/>
            </w:pPr>
            <w:r>
              <w:rPr/>
              <w:t>2</w:t>
            </w:r>
          </w:p>
        </w:tc>
        <w:tc>
          <w:tcPr>
            <w:tcW w:w="2261" w:type="dxa"/>
            <w:tcBorders/>
            <w:vAlign w:val="center"/>
          </w:tcPr>
          <w:p>
            <w:pPr>
              <w:pStyle w:val="Contenidodelatabla"/>
              <w:spacing w:before="0" w:after="160"/>
              <w:jc w:val="left"/>
              <w:rPr/>
            </w:pPr>
            <w:r>
              <w:rPr/>
              <w:t>BIP</w:t>
            </w:r>
          </w:p>
        </w:tc>
        <w:tc>
          <w:tcPr>
            <w:tcW w:w="2185" w:type="dxa"/>
            <w:tcBorders/>
            <w:vAlign w:val="center"/>
          </w:tcPr>
          <w:p>
            <w:pPr>
              <w:pStyle w:val="Contenidodelatabla"/>
              <w:spacing w:before="0" w:after="160"/>
              <w:jc w:val="right"/>
              <w:rPr/>
            </w:pPr>
            <w:r>
              <w:rPr/>
              <w:t>350</w:t>
            </w:r>
          </w:p>
        </w:tc>
      </w:tr>
      <w:tr>
        <w:trPr>
          <w:trHeight w:val="311" w:hRule="atLeast"/>
        </w:trPr>
        <w:tc>
          <w:tcPr>
            <w:tcW w:w="371" w:type="dxa"/>
            <w:tcBorders/>
            <w:vAlign w:val="center"/>
          </w:tcPr>
          <w:p>
            <w:pPr>
              <w:pStyle w:val="Contenidodelatabla"/>
              <w:spacing w:before="0" w:after="160"/>
              <w:jc w:val="right"/>
              <w:rPr/>
            </w:pPr>
            <w:r>
              <w:rPr/>
              <w:t>3</w:t>
            </w:r>
          </w:p>
        </w:tc>
        <w:tc>
          <w:tcPr>
            <w:tcW w:w="2261" w:type="dxa"/>
            <w:tcBorders/>
            <w:vAlign w:val="center"/>
          </w:tcPr>
          <w:p>
            <w:pPr>
              <w:pStyle w:val="Contenidodelatabla"/>
              <w:spacing w:before="0" w:after="160"/>
              <w:jc w:val="left"/>
              <w:rPr/>
            </w:pPr>
            <w:r>
              <w:rPr/>
              <w:t>Intersat</w:t>
            </w:r>
          </w:p>
        </w:tc>
        <w:tc>
          <w:tcPr>
            <w:tcW w:w="2185" w:type="dxa"/>
            <w:tcBorders/>
            <w:vAlign w:val="center"/>
          </w:tcPr>
          <w:p>
            <w:pPr>
              <w:pStyle w:val="Contenidodelatabla"/>
              <w:spacing w:before="0" w:after="160"/>
              <w:jc w:val="right"/>
              <w:rPr/>
            </w:pPr>
            <w:r>
              <w:rPr/>
              <w:t>1000</w:t>
            </w:r>
          </w:p>
        </w:tc>
      </w:tr>
      <w:tr>
        <w:trPr>
          <w:trHeight w:val="311" w:hRule="atLeast"/>
        </w:trPr>
        <w:tc>
          <w:tcPr>
            <w:tcW w:w="371" w:type="dxa"/>
            <w:tcBorders/>
            <w:vAlign w:val="center"/>
          </w:tcPr>
          <w:p>
            <w:pPr>
              <w:pStyle w:val="Contenidodelatabla"/>
              <w:spacing w:before="0" w:after="160"/>
              <w:jc w:val="right"/>
              <w:rPr/>
            </w:pPr>
            <w:r>
              <w:rPr/>
              <w:t>4</w:t>
            </w:r>
          </w:p>
        </w:tc>
        <w:tc>
          <w:tcPr>
            <w:tcW w:w="2261" w:type="dxa"/>
            <w:tcBorders/>
            <w:vAlign w:val="center"/>
          </w:tcPr>
          <w:p>
            <w:pPr>
              <w:pStyle w:val="Contenidodelatabla"/>
              <w:spacing w:before="0" w:after="160"/>
              <w:jc w:val="left"/>
              <w:rPr/>
            </w:pPr>
            <w:r>
              <w:rPr/>
              <w:t>XF</w:t>
            </w:r>
          </w:p>
        </w:tc>
        <w:tc>
          <w:tcPr>
            <w:tcW w:w="2185" w:type="dxa"/>
            <w:tcBorders/>
            <w:vAlign w:val="center"/>
          </w:tcPr>
          <w:p>
            <w:pPr>
              <w:pStyle w:val="Contenidodelatabla"/>
              <w:spacing w:before="0" w:after="160"/>
              <w:jc w:val="right"/>
              <w:rPr/>
            </w:pPr>
            <w:r>
              <w:rPr/>
              <w:t>1100</w:t>
            </w:r>
          </w:p>
        </w:tc>
      </w:tr>
      <w:tr>
        <w:trPr>
          <w:trHeight w:val="311" w:hRule="atLeast"/>
        </w:trPr>
        <w:tc>
          <w:tcPr>
            <w:tcW w:w="371" w:type="dxa"/>
            <w:tcBorders/>
            <w:vAlign w:val="center"/>
          </w:tcPr>
          <w:p>
            <w:pPr>
              <w:pStyle w:val="Contenidodelatabla"/>
              <w:spacing w:before="0" w:after="160"/>
              <w:jc w:val="right"/>
              <w:rPr/>
            </w:pPr>
            <w:r>
              <w:rPr/>
              <w:t>5</w:t>
            </w:r>
          </w:p>
        </w:tc>
        <w:tc>
          <w:tcPr>
            <w:tcW w:w="2261" w:type="dxa"/>
            <w:tcBorders/>
            <w:vAlign w:val="center"/>
          </w:tcPr>
          <w:p>
            <w:pPr>
              <w:pStyle w:val="Contenidodelatabla"/>
              <w:spacing w:before="0" w:after="160"/>
              <w:jc w:val="left"/>
              <w:rPr/>
            </w:pPr>
            <w:r>
              <w:rPr/>
              <w:t>Netrópolys</w:t>
            </w:r>
          </w:p>
        </w:tc>
        <w:tc>
          <w:tcPr>
            <w:tcW w:w="2185" w:type="dxa"/>
            <w:tcBorders/>
            <w:vAlign w:val="center"/>
          </w:tcPr>
          <w:p>
            <w:pPr>
              <w:pStyle w:val="Contenidodelatabla"/>
              <w:spacing w:before="0" w:after="160"/>
              <w:jc w:val="right"/>
              <w:rPr/>
            </w:pPr>
            <w:r>
              <w:rPr/>
              <w:t>3000</w:t>
            </w:r>
          </w:p>
        </w:tc>
      </w:tr>
      <w:tr>
        <w:trPr>
          <w:trHeight w:val="311" w:hRule="atLeast"/>
        </w:trPr>
        <w:tc>
          <w:tcPr>
            <w:tcW w:w="371" w:type="dxa"/>
            <w:tcBorders/>
            <w:vAlign w:val="center"/>
          </w:tcPr>
          <w:p>
            <w:pPr>
              <w:pStyle w:val="Contenidodelatabla"/>
              <w:spacing w:before="0" w:after="160"/>
              <w:jc w:val="right"/>
              <w:rPr/>
            </w:pPr>
            <w:r>
              <w:rPr/>
              <w:t>6</w:t>
            </w:r>
          </w:p>
        </w:tc>
        <w:tc>
          <w:tcPr>
            <w:tcW w:w="2261" w:type="dxa"/>
            <w:tcBorders/>
            <w:vAlign w:val="center"/>
          </w:tcPr>
          <w:p>
            <w:pPr>
              <w:pStyle w:val="Contenidodelatabla"/>
              <w:spacing w:before="0" w:after="160"/>
              <w:jc w:val="left"/>
              <w:rPr/>
            </w:pPr>
            <w:r>
              <w:rPr/>
              <w:t>GPS</w:t>
            </w:r>
          </w:p>
        </w:tc>
        <w:tc>
          <w:tcPr>
            <w:tcW w:w="2185" w:type="dxa"/>
            <w:tcBorders/>
            <w:vAlign w:val="center"/>
          </w:tcPr>
          <w:p>
            <w:pPr>
              <w:pStyle w:val="Contenidodelatabla"/>
              <w:spacing w:before="0" w:after="160"/>
              <w:jc w:val="right"/>
              <w:rPr/>
            </w:pPr>
            <w:r>
              <w:rPr/>
              <w:t>0</w:t>
            </w:r>
          </w:p>
        </w:tc>
      </w:tr>
      <w:tr>
        <w:trPr>
          <w:trHeight w:val="311" w:hRule="atLeast"/>
        </w:trPr>
        <w:tc>
          <w:tcPr>
            <w:tcW w:w="371" w:type="dxa"/>
            <w:tcBorders/>
            <w:vAlign w:val="center"/>
          </w:tcPr>
          <w:p>
            <w:pPr>
              <w:pStyle w:val="Contenidodelatabla"/>
              <w:spacing w:before="0" w:after="160"/>
              <w:jc w:val="right"/>
              <w:rPr/>
            </w:pPr>
            <w:r>
              <w:rPr/>
              <w:t>7</w:t>
            </w:r>
          </w:p>
        </w:tc>
        <w:tc>
          <w:tcPr>
            <w:tcW w:w="2261" w:type="dxa"/>
            <w:tcBorders/>
            <w:vAlign w:val="center"/>
          </w:tcPr>
          <w:p>
            <w:pPr>
              <w:pStyle w:val="Contenidodelatabla"/>
              <w:spacing w:before="0" w:after="160"/>
              <w:jc w:val="left"/>
              <w:rPr/>
            </w:pPr>
            <w:r>
              <w:rPr/>
              <w:t>Zetro</w:t>
            </w:r>
          </w:p>
        </w:tc>
        <w:tc>
          <w:tcPr>
            <w:tcW w:w="2185" w:type="dxa"/>
            <w:tcBorders/>
            <w:vAlign w:val="center"/>
          </w:tcPr>
          <w:p>
            <w:pPr>
              <w:pStyle w:val="Contenidodelatabla"/>
              <w:spacing w:before="0" w:after="160"/>
              <w:jc w:val="right"/>
              <w:rPr/>
            </w:pPr>
            <w:r>
              <w:rPr/>
              <w:t>1400</w:t>
            </w:r>
          </w:p>
        </w:tc>
      </w:tr>
      <w:tr>
        <w:trPr>
          <w:trHeight w:val="311" w:hRule="atLeast"/>
        </w:trPr>
        <w:tc>
          <w:tcPr>
            <w:tcW w:w="371" w:type="dxa"/>
            <w:tcBorders/>
            <w:vAlign w:val="center"/>
          </w:tcPr>
          <w:p>
            <w:pPr>
              <w:pStyle w:val="Contenidodelatabla"/>
              <w:spacing w:before="0" w:after="160"/>
              <w:jc w:val="right"/>
              <w:rPr/>
            </w:pPr>
            <w:r>
              <w:rPr/>
              <w:t>8</w:t>
            </w:r>
          </w:p>
        </w:tc>
        <w:tc>
          <w:tcPr>
            <w:tcW w:w="2261" w:type="dxa"/>
            <w:tcBorders/>
            <w:vAlign w:val="center"/>
          </w:tcPr>
          <w:p>
            <w:pPr>
              <w:pStyle w:val="Contenidodelatabla"/>
              <w:spacing w:before="0" w:after="160"/>
              <w:jc w:val="left"/>
              <w:rPr/>
            </w:pPr>
            <w:r>
              <w:rPr/>
              <w:t>I-Tic</w:t>
            </w:r>
          </w:p>
        </w:tc>
        <w:tc>
          <w:tcPr>
            <w:tcW w:w="2185" w:type="dxa"/>
            <w:tcBorders/>
            <w:vAlign w:val="center"/>
          </w:tcPr>
          <w:p>
            <w:pPr>
              <w:pStyle w:val="Contenidodelatabla"/>
              <w:spacing w:before="0" w:after="160"/>
              <w:jc w:val="right"/>
              <w:rPr/>
            </w:pPr>
            <w:r>
              <w:rPr/>
              <w:t>1170</w:t>
            </w:r>
          </w:p>
        </w:tc>
      </w:tr>
      <w:tr>
        <w:trPr>
          <w:trHeight w:val="311" w:hRule="atLeast"/>
        </w:trPr>
        <w:tc>
          <w:tcPr>
            <w:tcW w:w="371" w:type="dxa"/>
            <w:tcBorders/>
            <w:vAlign w:val="center"/>
          </w:tcPr>
          <w:p>
            <w:pPr>
              <w:pStyle w:val="Contenidodelatabla"/>
              <w:spacing w:before="0" w:after="160"/>
              <w:jc w:val="right"/>
              <w:rPr/>
            </w:pPr>
            <w:r>
              <w:rPr/>
              <w:t>9</w:t>
            </w:r>
          </w:p>
        </w:tc>
        <w:tc>
          <w:tcPr>
            <w:tcW w:w="2261" w:type="dxa"/>
            <w:tcBorders/>
            <w:vAlign w:val="center"/>
          </w:tcPr>
          <w:p>
            <w:pPr>
              <w:pStyle w:val="Contenidodelatabla"/>
              <w:spacing w:before="0" w:after="160"/>
              <w:jc w:val="left"/>
              <w:rPr/>
            </w:pPr>
            <w:r>
              <w:rPr/>
              <w:t>On Power</w:t>
            </w:r>
          </w:p>
        </w:tc>
        <w:tc>
          <w:tcPr>
            <w:tcW w:w="2185" w:type="dxa"/>
            <w:tcBorders/>
            <w:vAlign w:val="center"/>
          </w:tcPr>
          <w:p>
            <w:pPr>
              <w:pStyle w:val="Contenidodelatabla"/>
              <w:spacing w:before="0" w:after="160"/>
              <w:jc w:val="right"/>
              <w:rPr/>
            </w:pPr>
            <w:r>
              <w:rPr/>
              <w:t>860</w:t>
            </w:r>
          </w:p>
        </w:tc>
      </w:tr>
      <w:tr>
        <w:trPr>
          <w:trHeight w:val="311" w:hRule="atLeast"/>
        </w:trPr>
        <w:tc>
          <w:tcPr>
            <w:tcW w:w="371" w:type="dxa"/>
            <w:tcBorders/>
            <w:vAlign w:val="center"/>
          </w:tcPr>
          <w:p>
            <w:pPr>
              <w:pStyle w:val="Contenidodelatabla"/>
              <w:spacing w:before="0" w:after="160"/>
              <w:jc w:val="right"/>
              <w:rPr/>
            </w:pPr>
            <w:r>
              <w:rPr/>
              <w:t>10</w:t>
            </w:r>
          </w:p>
        </w:tc>
        <w:tc>
          <w:tcPr>
            <w:tcW w:w="2261" w:type="dxa"/>
            <w:tcBorders/>
            <w:vAlign w:val="center"/>
          </w:tcPr>
          <w:p>
            <w:pPr>
              <w:pStyle w:val="Contenidodelatabla"/>
              <w:spacing w:before="0" w:after="160"/>
              <w:jc w:val="left"/>
              <w:rPr/>
            </w:pPr>
            <w:r>
              <w:rPr/>
              <w:t>Interredes</w:t>
            </w:r>
          </w:p>
        </w:tc>
        <w:tc>
          <w:tcPr>
            <w:tcW w:w="2185" w:type="dxa"/>
            <w:tcBorders/>
            <w:vAlign w:val="center"/>
          </w:tcPr>
          <w:p>
            <w:pPr>
              <w:pStyle w:val="Contenidodelatabla"/>
              <w:spacing w:before="0" w:after="160"/>
              <w:jc w:val="right"/>
              <w:rPr/>
            </w:pPr>
            <w:r>
              <w:rPr/>
              <w:t>1100</w:t>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Carlos cometa que respecto al estado financiero no se dispone a la fecha de importes actualizados debido a un cambio en el sistema.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GPS queda en standby para los meses de marzo, abril y mayo por problemas de última milla.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Con XFly se trabaja en el segundo OCA.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Reporte de tráfico entre IXP-UAQ y el NOC central para desglosar el tráfico.</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En otros IXP se están instalado NET FLOW propios para analizar el tráfico local. </w:t>
      </w:r>
      <w:r>
        <w:rPr>
          <w:rFonts w:eastAsia="Times New Roman" w:cs="Times New Roman" w:ascii="Times New Roman" w:hAnsi="Times New Roman"/>
          <w:sz w:val="24"/>
          <w:szCs w:val="24"/>
          <w:lang w:eastAsia="es-AR"/>
        </w:rPr>
        <w:t>La UNRC está trabajando en el tema.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Ivan Gutierrez comenta que entre Energía San Juan y el gobierno de la provincia de San Juan hay un proyecto para normalizar y flexibilizar el uso de postación del servicio eléctrico.</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Miguel Morandi cometa que la normativa de CABASE establece que los recursos asignados por LACNIC es obligatorio publicar por los IPX, esto puede ser modificado por temas de saturación o si no está publicado todos explicar los motivos.</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Ricardo cometa que hay un retorno del tráfico al cache de Netflix por trásito IP de Xfly por parte de Interredes. Víctor comenta que no tiene información de Gastón. Quedan en comunicación para resolver el tema junto con Ruteo Central.</w:t>
      </w:r>
    </w:p>
    <w:p>
      <w:pPr>
        <w:pStyle w:val="Normal"/>
        <w:spacing w:lineRule="auto" w:line="240" w:before="280" w:after="280"/>
        <w:rPr/>
      </w:pPr>
      <w:r>
        <w:rPr>
          <w:rFonts w:eastAsia="Times New Roman" w:cs="Times New Roman" w:ascii="Times New Roman" w:hAnsi="Times New Roman"/>
          <w:sz w:val="24"/>
          <w:szCs w:val="24"/>
          <w:lang w:eastAsia="es-AR"/>
        </w:rPr>
        <w:t xml:space="preserve">6- </w:t>
      </w:r>
      <w:r>
        <w:rPr>
          <w:rFonts w:eastAsia="Times New Roman" w:cs="Times New Roman" w:ascii="Times New Roman" w:hAnsi="Times New Roman"/>
          <w:sz w:val="24"/>
          <w:szCs w:val="24"/>
          <w:lang w:eastAsia="es-AR"/>
        </w:rPr>
        <w:t xml:space="preserve">ALTAS, </w:t>
      </w:r>
      <w:r>
        <w:rPr>
          <w:rFonts w:eastAsia="Times New Roman" w:cs="Times New Roman" w:ascii="Times New Roman" w:hAnsi="Times New Roman"/>
          <w:sz w:val="24"/>
          <w:szCs w:val="24"/>
          <w:lang w:eastAsia="es-AR"/>
        </w:rPr>
        <w:t>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Los nuevos miembros está buscando la solución de última milla y los recursos de internet asignados por LACNIC.</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15</w:t>
      </w:r>
      <w:r>
        <w:rPr>
          <w:rFonts w:eastAsia="Times New Roman" w:cs="Times New Roman" w:ascii="Times New Roman" w:hAnsi="Times New Roman"/>
          <w:b/>
          <w:color w:val="auto"/>
          <w:kern w:val="0"/>
          <w:sz w:val="24"/>
          <w:szCs w:val="24"/>
          <w:lang w:val="es-AR" w:eastAsia="es-AR" w:bidi="ar-SA"/>
        </w:rPr>
        <w:t xml:space="preserve"> de abril de 2021</w:t>
      </w:r>
      <w:r>
        <w:rPr>
          <w:rFonts w:eastAsia="Times New Roman" w:cs="Times New Roman" w:ascii="Times New Roman" w:hAnsi="Times New Roman"/>
          <w:b/>
          <w:sz w:val="24"/>
          <w:szCs w:val="24"/>
          <w:lang w:eastAsia="es-AR"/>
        </w:rPr>
        <w:t xml:space="preserve">, </w:t>
      </w:r>
      <w:r>
        <w:rPr>
          <w:rFonts w:eastAsia="Times New Roman" w:cs="Times New Roman" w:ascii="Times New Roman" w:hAnsi="Times New Roman"/>
          <w:b/>
          <w:bCs/>
          <w:sz w:val="24"/>
          <w:szCs w:val="24"/>
          <w:lang w:eastAsia="es-AR"/>
        </w:rPr>
        <w:t>a las 9:00</w:t>
      </w:r>
    </w:p>
    <w:p>
      <w:pPr>
        <w:pStyle w:val="Normal"/>
        <w:spacing w:lineRule="auto" w:line="240" w:before="280" w:after="280"/>
        <w:rPr/>
      </w:pPr>
      <w:r>
        <w:rPr>
          <w:rFonts w:eastAsia="Times New Roman" w:cs="Times New Roman" w:ascii="Times New Roman" w:hAnsi="Times New Roman"/>
          <w:sz w:val="24"/>
          <w:szCs w:val="24"/>
          <w:lang w:eastAsia="es-AR"/>
        </w:rPr>
        <w:t>8</w:t>
      </w:r>
      <w:r>
        <w:rPr>
          <w:rFonts w:eastAsia="Times New Roman" w:cs="Times New Roman" w:ascii="Times New Roman" w:hAnsi="Times New Roman"/>
          <w:sz w:val="24"/>
          <w:szCs w:val="24"/>
          <w:lang w:eastAsia="es-AR"/>
        </w:rPr>
        <w:t>-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835</TotalTime>
  <Application>LibreOffice/6.4.6.2$Linux_X86_64 LibreOffice_project/40$Build-2</Application>
  <Pages>4</Pages>
  <Words>555</Words>
  <Characters>2631</Characters>
  <CharactersWithSpaces>3179</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2021-04-05T18:04:50Z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