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280" w:after="280"/>
        <w:rPr>
          <w:rFonts w:ascii="Times New Roman" w:hAnsi="Times New Roman" w:eastAsia="Times New Roman" w:cs="Times New Roman"/>
          <w:b/>
          <w:b/>
          <w:bCs/>
          <w:color w:val="002060"/>
          <w:sz w:val="20"/>
          <w:szCs w:val="20"/>
          <w:lang w:eastAsia="es-AR"/>
        </w:rPr>
      </w:pPr>
      <w:r>
        <w:rPr>
          <w:rFonts w:eastAsia="Times New Roman" w:cs="Times New Roman" w:ascii="Times New Roman" w:hAnsi="Times New Roman"/>
          <w:b/>
          <w:bCs/>
          <w:color w:val="002060"/>
          <w:sz w:val="20"/>
          <w:szCs w:val="20"/>
          <w:lang w:eastAsia="es-AR"/>
        </w:rPr>
        <w:t>CTA CONFECCIONADA POR PARTE DEL COORDINADOR TÉCNICO DEL IXP CABASE TITULAR O ALTERNO (EN SU AUSENCIA): Alejandro Cuadra</w:t>
      </w:r>
    </w:p>
    <w:p>
      <w:pPr>
        <w:pStyle w:val="Normal"/>
        <w:spacing w:lineRule="auto" w:line="240" w:before="280" w:after="280"/>
        <w:rPr/>
      </w:pPr>
      <w:r>
        <w:rPr>
          <w:rFonts w:eastAsia="Times New Roman" w:cs="Times New Roman" w:ascii="Times New Roman" w:hAnsi="Times New Roman"/>
          <w:b/>
          <w:bCs/>
          <w:sz w:val="20"/>
          <w:szCs w:val="20"/>
          <w:lang w:eastAsia="es-AR"/>
        </w:rPr>
        <w:t xml:space="preserve">DATOS DEL NAP: </w:t>
      </w:r>
      <w:r>
        <w:rPr>
          <w:rFonts w:eastAsia="Times New Roman" w:cs="Times New Roman" w:ascii="Times New Roman" w:hAnsi="Times New Roman"/>
          <w:sz w:val="20"/>
          <w:szCs w:val="20"/>
          <w:lang w:eastAsia="es-AR"/>
        </w:rPr>
        <w:t>SUBCOMISIÓN ADMINISTRADORA DEL IXP/ NAP CABASE REGIONAL San Juan</w:t>
      </w:r>
    </w:p>
    <w:p>
      <w:pPr>
        <w:pStyle w:val="Normal"/>
        <w:spacing w:lineRule="auto" w:line="240" w:before="280" w:after="280"/>
        <w:rPr>
          <w:rFonts w:ascii="Times New Roman" w:hAnsi="Times New Roman" w:eastAsia="Times New Roman" w:cs="Times New Roman"/>
          <w:sz w:val="20"/>
          <w:szCs w:val="20"/>
          <w:lang w:eastAsia="es-AR"/>
        </w:rPr>
      </w:pPr>
      <w:r>
        <w:rPr>
          <w:rFonts w:eastAsia="Times New Roman" w:cs="Times New Roman" w:ascii="Times New Roman" w:hAnsi="Times New Roman"/>
          <w:sz w:val="20"/>
          <w:szCs w:val="20"/>
          <w:lang w:eastAsia="es-AR"/>
        </w:rPr>
        <w:t>TRES LESTRAS QUE IDENTIFICAN AL IXP/NAP UAQ</w:t>
      </w:r>
    </w:p>
    <w:p>
      <w:pPr>
        <w:pStyle w:val="Normal"/>
        <w:spacing w:lineRule="auto" w:line="240" w:before="280" w:after="280"/>
        <w:rPr>
          <w:rFonts w:ascii="Times New Roman" w:hAnsi="Times New Roman" w:eastAsia="Times New Roman" w:cs="Times New Roman"/>
          <w:sz w:val="20"/>
          <w:szCs w:val="20"/>
          <w:lang w:eastAsia="es-AR"/>
        </w:rPr>
      </w:pPr>
      <w:r>
        <w:rPr>
          <w:rFonts w:eastAsia="Times New Roman" w:cs="Times New Roman" w:ascii="Times New Roman" w:hAnsi="Times New Roman"/>
          <w:b/>
          <w:bCs/>
          <w:sz w:val="20"/>
          <w:szCs w:val="20"/>
          <w:lang w:eastAsia="es-AR"/>
        </w:rPr>
        <w:t xml:space="preserve">DATOS DE LA REUNIÓN: </w:t>
      </w:r>
      <w:r>
        <w:rPr>
          <w:rFonts w:eastAsia="Times New Roman" w:cs="Times New Roman" w:ascii="Times New Roman" w:hAnsi="Times New Roman"/>
          <w:sz w:val="20"/>
          <w:szCs w:val="20"/>
          <w:lang w:eastAsia="es-AR"/>
        </w:rPr>
        <w:t xml:space="preserve">FECHA: DÍA  </w:t>
      </w:r>
      <w:r>
        <w:rPr>
          <w:rFonts w:eastAsia="Times New Roman" w:cs="Times New Roman" w:ascii="Times New Roman" w:hAnsi="Times New Roman"/>
          <w:color w:val="auto"/>
          <w:kern w:val="0"/>
          <w:sz w:val="20"/>
          <w:szCs w:val="20"/>
          <w:lang w:val="es-AR" w:eastAsia="es-AR" w:bidi="ar-SA"/>
        </w:rPr>
        <w:t xml:space="preserve">15 de abril </w:t>
      </w:r>
      <w:r>
        <w:rPr>
          <w:rFonts w:eastAsia="Times New Roman" w:cs="Times New Roman" w:ascii="Times New Roman" w:hAnsi="Times New Roman"/>
          <w:sz w:val="20"/>
          <w:szCs w:val="20"/>
          <w:lang w:eastAsia="es-AR"/>
        </w:rPr>
        <w:t>de 2021</w:t>
      </w:r>
    </w:p>
    <w:p>
      <w:pPr>
        <w:pStyle w:val="Normal"/>
        <w:spacing w:lineRule="auto" w:line="240" w:before="280" w:after="280"/>
        <w:rPr>
          <w:rFonts w:ascii="Times New Roman" w:hAnsi="Times New Roman" w:eastAsia="Times New Roman" w:cs="Times New Roman"/>
          <w:b/>
          <w:b/>
          <w:bCs/>
          <w:sz w:val="20"/>
          <w:szCs w:val="20"/>
          <w:lang w:eastAsia="es-AR"/>
        </w:rPr>
      </w:pPr>
      <w:r>
        <w:rPr>
          <w:rFonts w:eastAsia="Times New Roman" w:cs="Times New Roman" w:ascii="Times New Roman" w:hAnsi="Times New Roman"/>
          <w:b/>
          <w:bCs/>
          <w:sz w:val="20"/>
          <w:szCs w:val="20"/>
          <w:lang w:eastAsia="es-AR"/>
        </w:rPr>
        <w:t>PRESENTES EN LA REUNIÓN:</w:t>
      </w:r>
    </w:p>
    <w:tbl>
      <w:tblPr>
        <w:tblW w:w="7557" w:type="dxa"/>
        <w:jc w:val="left"/>
        <w:tblInd w:w="118" w:type="dxa"/>
        <w:tblCellMar>
          <w:top w:w="0" w:type="dxa"/>
          <w:left w:w="60" w:type="dxa"/>
          <w:bottom w:w="0" w:type="dxa"/>
          <w:right w:w="70" w:type="dxa"/>
        </w:tblCellMar>
      </w:tblPr>
      <w:tblGrid>
        <w:gridCol w:w="1246"/>
        <w:gridCol w:w="1358"/>
        <w:gridCol w:w="3121"/>
        <w:gridCol w:w="1831"/>
      </w:tblGrid>
      <w:tr>
        <w:trPr>
          <w:trHeight w:val="300" w:hRule="atLeast"/>
        </w:trPr>
        <w:tc>
          <w:tcPr>
            <w:tcW w:w="1246"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rFonts w:ascii="Times New Roman" w:hAnsi="Times New Roman" w:eastAsia="Times New Roman" w:cs="Times New Roman"/>
                <w:color w:val="000000"/>
                <w:sz w:val="24"/>
                <w:szCs w:val="24"/>
                <w:lang w:val="en-US" w:eastAsia="es-ES"/>
              </w:rPr>
            </w:pPr>
            <w:r>
              <w:rPr>
                <w:rFonts w:eastAsia="Times New Roman" w:cs="Times New Roman" w:ascii="Times New Roman" w:hAnsi="Times New Roman"/>
                <w:color w:val="000000"/>
                <w:sz w:val="24"/>
                <w:szCs w:val="24"/>
                <w:lang w:val="en-US" w:eastAsia="es-ES"/>
              </w:rPr>
              <w:t>NOMBRE</w:t>
            </w:r>
          </w:p>
        </w:tc>
        <w:tc>
          <w:tcPr>
            <w:tcW w:w="1358"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rFonts w:ascii="Times New Roman" w:hAnsi="Times New Roman" w:eastAsia="Times New Roman" w:cs="Times New Roman"/>
                <w:color w:val="000000"/>
                <w:sz w:val="24"/>
                <w:szCs w:val="24"/>
                <w:lang w:val="en-US" w:eastAsia="es-ES"/>
              </w:rPr>
            </w:pPr>
            <w:r>
              <w:rPr>
                <w:rFonts w:eastAsia="Times New Roman" w:cs="Times New Roman" w:ascii="Times New Roman" w:hAnsi="Times New Roman"/>
                <w:color w:val="000000"/>
                <w:sz w:val="24"/>
                <w:szCs w:val="24"/>
                <w:lang w:val="en-US" w:eastAsia="es-ES"/>
              </w:rPr>
              <w:t>APELLIDO</w:t>
            </w:r>
          </w:p>
        </w:tc>
        <w:tc>
          <w:tcPr>
            <w:tcW w:w="3121"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rFonts w:ascii="Times New Roman" w:hAnsi="Times New Roman" w:eastAsia="Times New Roman" w:cs="Times New Roman"/>
                <w:color w:val="000000"/>
                <w:sz w:val="24"/>
                <w:szCs w:val="24"/>
                <w:lang w:eastAsia="es-ES"/>
              </w:rPr>
            </w:pPr>
            <w:r>
              <w:rPr>
                <w:rFonts w:eastAsia="Times New Roman" w:cs="Times New Roman" w:ascii="Times New Roman" w:hAnsi="Times New Roman"/>
                <w:color w:val="000000"/>
                <w:sz w:val="24"/>
                <w:szCs w:val="24"/>
                <w:lang w:eastAsia="es-ES"/>
              </w:rPr>
              <w:t xml:space="preserve">RAZÓN SOCIAL A LA QUE REPRESENTA </w:t>
            </w:r>
          </w:p>
        </w:tc>
        <w:tc>
          <w:tcPr>
            <w:tcW w:w="1831"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rFonts w:ascii="Times New Roman" w:hAnsi="Times New Roman" w:eastAsia="Times New Roman" w:cs="Times New Roman"/>
                <w:color w:val="000000"/>
                <w:sz w:val="24"/>
                <w:szCs w:val="24"/>
                <w:lang w:val="en-US" w:eastAsia="es-ES"/>
              </w:rPr>
            </w:pPr>
            <w:r>
              <w:rPr>
                <w:rFonts w:eastAsia="Times New Roman" w:cs="Times New Roman" w:ascii="Times New Roman" w:hAnsi="Times New Roman"/>
                <w:color w:val="000000"/>
                <w:sz w:val="24"/>
                <w:szCs w:val="24"/>
                <w:lang w:val="en-US" w:eastAsia="es-ES"/>
              </w:rPr>
              <w:t xml:space="preserve">CARGO </w:t>
            </w:r>
          </w:p>
        </w:tc>
      </w:tr>
      <w:tr>
        <w:trPr>
          <w:trHeight w:val="300" w:hRule="atLeast"/>
        </w:trPr>
        <w:tc>
          <w:tcPr>
            <w:tcW w:w="1246"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t>Juan C.</w:t>
            </w:r>
          </w:p>
        </w:tc>
        <w:tc>
          <w:tcPr>
            <w:tcW w:w="1358"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t>Marquez</w:t>
            </w:r>
          </w:p>
        </w:tc>
        <w:tc>
          <w:tcPr>
            <w:tcW w:w="3121"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t>CABASE</w:t>
            </w:r>
          </w:p>
        </w:tc>
        <w:tc>
          <w:tcPr>
            <w:tcW w:w="1831"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pPr>
            <w:r>
              <w:rPr>
                <w:rFonts w:eastAsia="Times New Roman" w:cs="Times New Roman" w:ascii="Times New Roman" w:hAnsi="Times New Roman"/>
                <w:sz w:val="24"/>
                <w:szCs w:val="24"/>
                <w:lang w:eastAsia="es-AR"/>
              </w:rPr>
              <w:t>x</w:t>
            </w:r>
          </w:p>
        </w:tc>
      </w:tr>
      <w:tr>
        <w:trPr>
          <w:trHeight w:val="300" w:hRule="atLeast"/>
        </w:trPr>
        <w:tc>
          <w:tcPr>
            <w:tcW w:w="1246"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t>Facundo</w:t>
            </w:r>
          </w:p>
        </w:tc>
        <w:tc>
          <w:tcPr>
            <w:tcW w:w="1358"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rFonts w:ascii="Times New Roman" w:hAnsi="Times New Roman" w:eastAsia="Times New Roman" w:cs="Times New Roman"/>
                <w:sz w:val="24"/>
                <w:szCs w:val="24"/>
                <w:lang w:eastAsia="es-AR"/>
              </w:rPr>
            </w:pPr>
            <w:bookmarkStart w:id="0" w:name="__DdeLink__265_35811575891"/>
            <w:r>
              <w:rPr>
                <w:rFonts w:eastAsia="Times New Roman" w:cs="Times New Roman" w:ascii="Times New Roman" w:hAnsi="Times New Roman"/>
                <w:sz w:val="24"/>
                <w:szCs w:val="24"/>
                <w:lang w:eastAsia="es-AR"/>
              </w:rPr>
              <w:t>C</w:t>
            </w:r>
            <w:bookmarkEnd w:id="0"/>
            <w:r>
              <w:rPr>
                <w:rFonts w:eastAsia="Times New Roman" w:cs="Times New Roman" w:ascii="Times New Roman" w:hAnsi="Times New Roman"/>
                <w:sz w:val="24"/>
                <w:szCs w:val="24"/>
                <w:lang w:eastAsia="es-AR"/>
              </w:rPr>
              <w:t>aselles</w:t>
            </w:r>
          </w:p>
        </w:tc>
        <w:tc>
          <w:tcPr>
            <w:tcW w:w="3121"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rFonts w:ascii="Times New Roman" w:hAnsi="Times New Roman" w:eastAsia="Times New Roman" w:cs="Times New Roman"/>
                <w:color w:val="auto"/>
                <w:kern w:val="0"/>
                <w:sz w:val="24"/>
                <w:szCs w:val="24"/>
                <w:lang w:val="es-AR" w:eastAsia="es-AR" w:bidi="ar-SA"/>
              </w:rPr>
            </w:pPr>
            <w:r>
              <w:rPr>
                <w:rFonts w:eastAsia="Times New Roman" w:cs="Times New Roman" w:ascii="Times New Roman" w:hAnsi="Times New Roman"/>
                <w:color w:val="auto"/>
                <w:kern w:val="0"/>
                <w:sz w:val="24"/>
                <w:szCs w:val="24"/>
                <w:lang w:val="es-AR" w:eastAsia="es-AR" w:bidi="ar-SA"/>
              </w:rPr>
              <w:t>On Power</w:t>
            </w:r>
          </w:p>
        </w:tc>
        <w:tc>
          <w:tcPr>
            <w:tcW w:w="1831"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pPr>
            <w:r>
              <w:rPr>
                <w:rFonts w:eastAsia="Times New Roman" w:cs="Times New Roman" w:ascii="Times New Roman" w:hAnsi="Times New Roman"/>
                <w:sz w:val="24"/>
                <w:szCs w:val="24"/>
                <w:lang w:eastAsia="es-AR"/>
              </w:rPr>
              <w:t>x</w:t>
            </w:r>
          </w:p>
        </w:tc>
      </w:tr>
      <w:tr>
        <w:trPr>
          <w:trHeight w:val="300" w:hRule="atLeast"/>
        </w:trPr>
        <w:tc>
          <w:tcPr>
            <w:tcW w:w="1246"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pPr>
            <w:r>
              <w:rPr/>
              <w:t>Raúl</w:t>
            </w:r>
          </w:p>
        </w:tc>
        <w:tc>
          <w:tcPr>
            <w:tcW w:w="1358"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pPr>
            <w:r>
              <w:rPr/>
              <w:t>Cortez</w:t>
            </w:r>
          </w:p>
        </w:tc>
        <w:tc>
          <w:tcPr>
            <w:tcW w:w="3121"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pPr>
            <w:r>
              <w:rPr/>
              <w:t>ZETRO</w:t>
            </w:r>
          </w:p>
        </w:tc>
        <w:tc>
          <w:tcPr>
            <w:tcW w:w="1831"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t>x</w:t>
            </w:r>
          </w:p>
        </w:tc>
      </w:tr>
      <w:tr>
        <w:trPr>
          <w:trHeight w:val="300" w:hRule="atLeast"/>
        </w:trPr>
        <w:tc>
          <w:tcPr>
            <w:tcW w:w="1246"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rFonts w:ascii="Times New Roman" w:hAnsi="Times New Roman" w:eastAsia="Times New Roman" w:cs="Times New Roman"/>
                <w:color w:val="000000"/>
                <w:sz w:val="24"/>
                <w:szCs w:val="24"/>
                <w:lang w:val="en-US" w:eastAsia="es-ES"/>
              </w:rPr>
            </w:pPr>
            <w:r>
              <w:rPr>
                <w:rFonts w:eastAsia="Times New Roman" w:cs="Times New Roman" w:ascii="Times New Roman" w:hAnsi="Times New Roman"/>
                <w:color w:val="000000"/>
                <w:sz w:val="24"/>
                <w:szCs w:val="24"/>
                <w:lang w:val="en-US" w:eastAsia="es-ES"/>
              </w:rPr>
              <w:t>Miguel</w:t>
            </w:r>
          </w:p>
        </w:tc>
        <w:tc>
          <w:tcPr>
            <w:tcW w:w="1358"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rFonts w:ascii="Times New Roman" w:hAnsi="Times New Roman" w:eastAsia="Times New Roman" w:cs="Times New Roman"/>
                <w:color w:val="000000"/>
                <w:sz w:val="24"/>
                <w:szCs w:val="24"/>
                <w:lang w:val="en-US" w:eastAsia="es-ES"/>
              </w:rPr>
            </w:pPr>
            <w:r>
              <w:rPr>
                <w:rFonts w:eastAsia="Times New Roman" w:cs="Times New Roman" w:ascii="Times New Roman" w:hAnsi="Times New Roman"/>
                <w:color w:val="000000"/>
                <w:sz w:val="24"/>
                <w:szCs w:val="24"/>
                <w:lang w:val="en-US" w:eastAsia="es-ES"/>
              </w:rPr>
              <w:t>Morandi</w:t>
            </w:r>
          </w:p>
        </w:tc>
        <w:tc>
          <w:tcPr>
            <w:tcW w:w="3121"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rFonts w:ascii="Times New Roman" w:hAnsi="Times New Roman" w:eastAsia="Times New Roman" w:cs="Times New Roman"/>
                <w:color w:val="000000"/>
                <w:sz w:val="24"/>
                <w:szCs w:val="24"/>
                <w:lang w:val="en-US" w:eastAsia="es-ES"/>
              </w:rPr>
            </w:pPr>
            <w:r>
              <w:rPr>
                <w:rFonts w:eastAsia="Times New Roman" w:cs="Times New Roman" w:ascii="Times New Roman" w:hAnsi="Times New Roman"/>
                <w:color w:val="000000"/>
                <w:sz w:val="24"/>
                <w:szCs w:val="24"/>
                <w:lang w:val="en-US" w:eastAsia="es-ES"/>
              </w:rPr>
              <w:t>UNSJ</w:t>
            </w:r>
          </w:p>
        </w:tc>
        <w:tc>
          <w:tcPr>
            <w:tcW w:w="1831"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pPr>
            <w:r>
              <w:rPr>
                <w:rFonts w:eastAsia="Times New Roman" w:cs="Times New Roman" w:ascii="Times New Roman" w:hAnsi="Times New Roman"/>
                <w:sz w:val="24"/>
                <w:szCs w:val="24"/>
                <w:lang w:eastAsia="es-AR"/>
              </w:rPr>
              <w:t>x</w:t>
            </w:r>
          </w:p>
        </w:tc>
      </w:tr>
      <w:tr>
        <w:trPr>
          <w:trHeight w:val="300" w:hRule="atLeast"/>
        </w:trPr>
        <w:tc>
          <w:tcPr>
            <w:tcW w:w="1246"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pPr>
            <w:r>
              <w:rPr/>
              <w:t>Ricardo</w:t>
            </w:r>
          </w:p>
        </w:tc>
        <w:tc>
          <w:tcPr>
            <w:tcW w:w="1358"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pPr>
            <w:r>
              <w:rPr/>
              <w:t>Goldberg</w:t>
            </w:r>
          </w:p>
        </w:tc>
        <w:tc>
          <w:tcPr>
            <w:tcW w:w="3121"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pPr>
            <w:r>
              <w:rPr/>
              <w:t>XF</w:t>
            </w:r>
          </w:p>
        </w:tc>
        <w:tc>
          <w:tcPr>
            <w:tcW w:w="1831"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pPr>
            <w:r>
              <w:rPr>
                <w:rFonts w:eastAsia="Times New Roman" w:cs="Times New Roman" w:ascii="Times New Roman" w:hAnsi="Times New Roman"/>
                <w:sz w:val="24"/>
                <w:szCs w:val="24"/>
                <w:lang w:eastAsia="es-AR"/>
              </w:rPr>
              <w:t>x</w:t>
            </w:r>
          </w:p>
        </w:tc>
      </w:tr>
      <w:tr>
        <w:trPr>
          <w:trHeight w:val="300" w:hRule="atLeast"/>
        </w:trPr>
        <w:tc>
          <w:tcPr>
            <w:tcW w:w="1246"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rFonts w:ascii="Calibri" w:hAnsi="Calibri" w:eastAsia="Calibri" w:cs="DejaVu Sans"/>
                <w:color w:val="auto"/>
                <w:kern w:val="0"/>
                <w:sz w:val="22"/>
                <w:szCs w:val="22"/>
                <w:lang w:val="es-AR" w:eastAsia="en-US" w:bidi="ar-SA"/>
              </w:rPr>
            </w:pPr>
            <w:r>
              <w:rPr>
                <w:rFonts w:eastAsia="Calibri" w:cs="DejaVu Sans"/>
                <w:color w:val="auto"/>
                <w:kern w:val="0"/>
                <w:sz w:val="22"/>
                <w:szCs w:val="22"/>
                <w:lang w:val="es-AR" w:eastAsia="en-US" w:bidi="ar-SA"/>
              </w:rPr>
              <w:t>Hernán</w:t>
            </w:r>
          </w:p>
        </w:tc>
        <w:tc>
          <w:tcPr>
            <w:tcW w:w="1358"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pPr>
            <w:r>
              <w:rPr/>
              <w:t>Bourdieu</w:t>
            </w:r>
          </w:p>
        </w:tc>
        <w:tc>
          <w:tcPr>
            <w:tcW w:w="3121"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pPr>
            <w:r>
              <w:rPr/>
              <w:t>CLARO</w:t>
            </w:r>
          </w:p>
        </w:tc>
        <w:tc>
          <w:tcPr>
            <w:tcW w:w="1831"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t>x</w:t>
            </w:r>
          </w:p>
        </w:tc>
      </w:tr>
      <w:tr>
        <w:trPr>
          <w:trHeight w:val="300" w:hRule="atLeast"/>
        </w:trPr>
        <w:tc>
          <w:tcPr>
            <w:tcW w:w="1246"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pPr>
            <w:r>
              <w:rPr/>
              <w:t>Passarelli</w:t>
            </w:r>
          </w:p>
        </w:tc>
        <w:tc>
          <w:tcPr>
            <w:tcW w:w="1358"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pPr>
            <w:r>
              <w:rPr/>
              <w:t>Ariel</w:t>
            </w:r>
          </w:p>
        </w:tc>
        <w:tc>
          <w:tcPr>
            <w:tcW w:w="3121"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pPr>
            <w:r>
              <w:rPr/>
              <w:t>CLARO</w:t>
            </w:r>
          </w:p>
        </w:tc>
        <w:tc>
          <w:tcPr>
            <w:tcW w:w="1831"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t>x</w:t>
            </w:r>
          </w:p>
        </w:tc>
      </w:tr>
      <w:tr>
        <w:trPr>
          <w:trHeight w:val="759" w:hRule="atLeast"/>
        </w:trPr>
        <w:tc>
          <w:tcPr>
            <w:tcW w:w="1246"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pPr>
            <w:r>
              <w:rPr/>
              <w:t>Guillen</w:t>
            </w:r>
          </w:p>
        </w:tc>
        <w:tc>
          <w:tcPr>
            <w:tcW w:w="1358"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pPr>
            <w:r>
              <w:rPr/>
              <w:t>Carlos</w:t>
            </w:r>
          </w:p>
        </w:tc>
        <w:tc>
          <w:tcPr>
            <w:tcW w:w="3121"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pPr>
            <w:r>
              <w:rPr/>
              <w:t>GPS</w:t>
            </w:r>
          </w:p>
        </w:tc>
        <w:tc>
          <w:tcPr>
            <w:tcW w:w="1831"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pPr>
            <w:r>
              <w:rPr/>
              <w:t>x</w:t>
            </w:r>
          </w:p>
        </w:tc>
      </w:tr>
      <w:tr>
        <w:trPr>
          <w:trHeight w:val="300" w:hRule="atLeast"/>
        </w:trPr>
        <w:tc>
          <w:tcPr>
            <w:tcW w:w="1246"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pPr>
            <w:r>
              <w:rPr/>
              <w:t>Gutiérrez</w:t>
            </w:r>
          </w:p>
        </w:tc>
        <w:tc>
          <w:tcPr>
            <w:tcW w:w="1358"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pPr>
            <w:r>
              <w:rPr/>
              <w:t>Iván</w:t>
            </w:r>
          </w:p>
        </w:tc>
        <w:tc>
          <w:tcPr>
            <w:tcW w:w="3121"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pPr>
            <w:r>
              <w:rPr/>
              <w:t>Intersat</w:t>
            </w:r>
          </w:p>
        </w:tc>
        <w:tc>
          <w:tcPr>
            <w:tcW w:w="1831"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t>x</w:t>
            </w:r>
          </w:p>
        </w:tc>
      </w:tr>
      <w:tr>
        <w:trPr>
          <w:trHeight w:val="300" w:hRule="atLeast"/>
        </w:trPr>
        <w:tc>
          <w:tcPr>
            <w:tcW w:w="1246"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pPr>
            <w:r>
              <w:rPr/>
              <w:t>Sergio</w:t>
            </w:r>
          </w:p>
        </w:tc>
        <w:tc>
          <w:tcPr>
            <w:tcW w:w="1358"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pPr>
            <w:r>
              <w:rPr/>
              <w:t>Aprea</w:t>
            </w:r>
          </w:p>
        </w:tc>
        <w:tc>
          <w:tcPr>
            <w:tcW w:w="3121"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pPr>
            <w:r>
              <w:rPr/>
              <w:t>Netrópolys</w:t>
            </w:r>
          </w:p>
        </w:tc>
        <w:tc>
          <w:tcPr>
            <w:tcW w:w="1831"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t>x</w:t>
            </w:r>
          </w:p>
        </w:tc>
      </w:tr>
      <w:tr>
        <w:trPr>
          <w:trHeight w:val="300" w:hRule="atLeast"/>
        </w:trPr>
        <w:tc>
          <w:tcPr>
            <w:tcW w:w="1246"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pPr>
            <w:r>
              <w:rPr/>
              <w:t>Alejandro</w:t>
            </w:r>
          </w:p>
        </w:tc>
        <w:tc>
          <w:tcPr>
            <w:tcW w:w="1358"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pPr>
            <w:r>
              <w:rPr/>
              <w:t>Cuadra</w:t>
            </w:r>
          </w:p>
        </w:tc>
        <w:tc>
          <w:tcPr>
            <w:tcW w:w="3121"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pPr>
            <w:r>
              <w:rPr/>
              <w:t>Técnico NAP UNSJ</w:t>
            </w:r>
          </w:p>
        </w:tc>
        <w:tc>
          <w:tcPr>
            <w:tcW w:w="1831"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pPr>
            <w:r>
              <w:rPr/>
              <w:t>x</w:t>
            </w:r>
          </w:p>
        </w:tc>
      </w:tr>
      <w:tr>
        <w:trPr>
          <w:trHeight w:val="300" w:hRule="atLeast"/>
        </w:trPr>
        <w:tc>
          <w:tcPr>
            <w:tcW w:w="1246"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pPr>
            <w:r>
              <w:rPr/>
              <w:t>David</w:t>
            </w:r>
          </w:p>
        </w:tc>
        <w:tc>
          <w:tcPr>
            <w:tcW w:w="1358"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pPr>
            <w:r>
              <w:rPr/>
              <w:t>Vega</w:t>
            </w:r>
          </w:p>
        </w:tc>
        <w:tc>
          <w:tcPr>
            <w:tcW w:w="3121"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pPr>
            <w:r>
              <w:rPr/>
              <w:t>I-TIC</w:t>
            </w:r>
          </w:p>
        </w:tc>
        <w:tc>
          <w:tcPr>
            <w:tcW w:w="1831"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t>x</w:t>
            </w:r>
          </w:p>
        </w:tc>
      </w:tr>
    </w:tbl>
    <w:p>
      <w:pPr>
        <w:pStyle w:val="Normal"/>
        <w:spacing w:lineRule="auto" w:line="240" w:before="280" w:after="280"/>
        <w:rPr/>
      </w:pPr>
      <w:r>
        <w:rPr>
          <w:rFonts w:eastAsia="Times New Roman" w:cs="Times New Roman" w:ascii="Times New Roman" w:hAnsi="Times New Roman"/>
          <w:sz w:val="20"/>
          <w:szCs w:val="20"/>
          <w:lang w:eastAsia="es-AR"/>
        </w:rPr>
        <w:t> </w:t>
      </w:r>
      <w:r>
        <w:rPr>
          <w:rFonts w:eastAsia="Times New Roman" w:cs="Times New Roman" w:ascii="Times New Roman" w:hAnsi="Times New Roman"/>
          <w:sz w:val="24"/>
          <w:szCs w:val="24"/>
          <w:lang w:eastAsia="es-AR"/>
        </w:rPr>
        <w:t>TEMARIO:</w:t>
      </w:r>
    </w:p>
    <w:p>
      <w:pPr>
        <w:pStyle w:val="Normal"/>
        <w:spacing w:lineRule="auto" w:line="240" w:before="0" w:after="0"/>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t>1-            ACTA ANTERIOR</w:t>
      </w:r>
    </w:p>
    <w:p>
      <w:pPr>
        <w:pStyle w:val="Normal"/>
        <w:spacing w:lineRule="auto" w:line="240" w:before="0" w:after="0"/>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t>2-            ADMINISTRACIÓN</w:t>
      </w:r>
    </w:p>
    <w:p>
      <w:pPr>
        <w:pStyle w:val="Normal"/>
        <w:spacing w:lineRule="auto" w:line="240" w:before="0" w:after="0"/>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t>3-            COMPRAS</w:t>
      </w:r>
    </w:p>
    <w:p>
      <w:pPr>
        <w:pStyle w:val="Normal"/>
        <w:spacing w:lineRule="auto" w:line="240" w:before="0" w:after="0"/>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t>4-            STATUS DE CONEXIONES DEL IXP</w:t>
      </w:r>
    </w:p>
    <w:p>
      <w:pPr>
        <w:pStyle w:val="Normal"/>
        <w:spacing w:lineRule="auto" w:line="240" w:before="0" w:after="0"/>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t>5-            STATUS DE CONEXIONES DE LOS MIEMBROS DEL IXP</w:t>
      </w:r>
    </w:p>
    <w:p>
      <w:pPr>
        <w:pStyle w:val="Normal"/>
        <w:spacing w:lineRule="auto" w:line="240" w:before="0" w:after="0"/>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t>6-            ALTAS, BAJAS Y MODIFICACIONES</w:t>
      </w:r>
    </w:p>
    <w:p>
      <w:pPr>
        <w:pStyle w:val="Normal"/>
        <w:spacing w:lineRule="auto" w:line="240" w:before="0" w:after="0"/>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t>7-            FECHA DE LA PRÓXIMA REUNIÓN</w:t>
      </w:r>
    </w:p>
    <w:p>
      <w:pPr>
        <w:pStyle w:val="Normal"/>
        <w:spacing w:lineRule="auto" w:line="240" w:before="0" w:after="0"/>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t>8-            TEMAS VARIOS</w:t>
      </w:r>
    </w:p>
    <w:p>
      <w:pPr>
        <w:pStyle w:val="Normal"/>
        <w:spacing w:lineRule="auto" w:line="240" w:before="0" w:after="0"/>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r>
    </w:p>
    <w:p>
      <w:pPr>
        <w:pStyle w:val="Normal"/>
        <w:spacing w:lineRule="auto" w:line="240" w:before="280" w:after="280"/>
        <w:ind w:left="0" w:right="0" w:hanging="360"/>
        <w:rPr/>
      </w:pPr>
      <w:r>
        <w:rPr>
          <w:rFonts w:eastAsia="Times New Roman" w:cs="Times New Roman" w:ascii="Times New Roman" w:hAnsi="Times New Roman"/>
          <w:sz w:val="20"/>
          <w:szCs w:val="20"/>
          <w:lang w:eastAsia="es-AR"/>
        </w:rPr>
        <w:t>1.</w:t>
      </w:r>
      <w:r>
        <w:rPr>
          <w:rFonts w:eastAsia="Times New Roman" w:cs="Times New Roman" w:ascii="Times New Roman" w:hAnsi="Times New Roman"/>
          <w:sz w:val="14"/>
          <w:szCs w:val="14"/>
          <w:lang w:eastAsia="es-AR"/>
        </w:rPr>
        <w:t xml:space="preserve"> </w:t>
      </w:r>
      <w:r>
        <w:rPr>
          <w:rFonts w:eastAsia="Times New Roman" w:cs="Times New Roman" w:ascii="Times New Roman" w:hAnsi="Times New Roman"/>
          <w:sz w:val="20"/>
          <w:szCs w:val="20"/>
          <w:lang w:eastAsia="es-AR"/>
        </w:rPr>
        <w:t xml:space="preserve">FECHA DEL CORREO ELECTRÓNICO CON </w:t>
      </w:r>
      <w:r>
        <w:rPr>
          <w:rFonts w:eastAsia="Times New Roman" w:cs="Times New Roman" w:ascii="Times New Roman" w:hAnsi="Times New Roman"/>
          <w:b/>
          <w:bCs/>
          <w:sz w:val="20"/>
          <w:szCs w:val="20"/>
          <w:lang w:eastAsia="es-AR"/>
        </w:rPr>
        <w:t>EL ACTA ANTERIOR CIRCULADA</w:t>
      </w:r>
      <w:r>
        <w:rPr>
          <w:rFonts w:eastAsia="Times New Roman" w:cs="Times New Roman" w:ascii="Times New Roman" w:hAnsi="Times New Roman"/>
          <w:sz w:val="20"/>
          <w:szCs w:val="20"/>
          <w:lang w:eastAsia="es-AR"/>
        </w:rPr>
        <w:t xml:space="preserve"> a la lista del IXP UAQ</w:t>
      </w:r>
    </w:p>
    <w:p>
      <w:pPr>
        <w:pStyle w:val="Normal"/>
        <w:spacing w:lineRule="auto" w:line="240" w:before="280" w:after="280"/>
        <w:rPr/>
      </w:pPr>
      <w:r>
        <w:rPr>
          <w:rFonts w:eastAsia="Times New Roman" w:cs="Times New Roman" w:ascii="Times New Roman" w:hAnsi="Times New Roman"/>
          <w:sz w:val="16"/>
          <w:szCs w:val="16"/>
          <w:lang w:eastAsia="es-AR"/>
        </w:rPr>
        <w:t> </w:t>
      </w:r>
      <w:r>
        <w:rPr>
          <w:rFonts w:eastAsia="Times New Roman" w:cs="Times New Roman" w:ascii="Times New Roman" w:hAnsi="Times New Roman"/>
          <w:sz w:val="16"/>
          <w:szCs w:val="16"/>
          <w:lang w:eastAsia="es-AR"/>
        </w:rPr>
        <w:tab/>
      </w:r>
      <w:hyperlink r:id="rId2" w:tgtFrame="Este enlace externo se abrirá en una nueva ventana">
        <w:r>
          <w:rPr>
            <w:rFonts w:eastAsia="Times New Roman" w:cs="Times New Roman" w:ascii="Times New Roman" w:hAnsi="Times New Roman"/>
            <w:color w:val="0000FF"/>
            <w:sz w:val="24"/>
            <w:szCs w:val="24"/>
            <w:u w:val="single"/>
            <w:lang w:eastAsia="es-AR"/>
          </w:rPr>
          <w:t>ixpsanjuan@listas.cabase.org.ar</w:t>
        </w:r>
      </w:hyperlink>
      <w:r>
        <w:rPr>
          <w:rFonts w:eastAsia="Times New Roman" w:cs="Times New Roman" w:ascii="Times New Roman" w:hAnsi="Times New Roman"/>
          <w:sz w:val="24"/>
          <w:szCs w:val="24"/>
          <w:lang w:eastAsia="es-AR"/>
        </w:rPr>
        <w:t xml:space="preserve"> : 05 </w:t>
      </w:r>
      <w:r>
        <w:rPr>
          <w:rFonts w:eastAsia="Times New Roman" w:cs="Times New Roman" w:ascii="Times New Roman" w:hAnsi="Times New Roman"/>
          <w:color w:val="auto"/>
          <w:kern w:val="0"/>
          <w:sz w:val="24"/>
          <w:szCs w:val="24"/>
          <w:lang w:val="es-AR" w:eastAsia="es-AR" w:bidi="ar-SA"/>
        </w:rPr>
        <w:t>de abril</w:t>
      </w:r>
      <w:r>
        <w:rPr>
          <w:rFonts w:eastAsia="Times New Roman" w:cs="Times New Roman" w:ascii="Times New Roman" w:hAnsi="Times New Roman"/>
          <w:sz w:val="24"/>
          <w:szCs w:val="24"/>
          <w:lang w:eastAsia="es-AR"/>
        </w:rPr>
        <w:t xml:space="preserve"> de 2021 </w:t>
      </w:r>
    </w:p>
    <w:p>
      <w:pPr>
        <w:pStyle w:val="Normal"/>
        <w:spacing w:lineRule="auto" w:line="240" w:before="280" w:after="280"/>
        <w:ind w:left="0" w:right="0" w:hanging="360"/>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t>2. Caja, se cuenta con el siguiente detalle al 14 de abril de 2021</w:t>
      </w:r>
    </w:p>
    <w:p>
      <w:pPr>
        <w:pStyle w:val="Normal"/>
        <w:spacing w:lineRule="auto" w:line="240" w:before="280" w:after="280"/>
        <w:ind w:left="0" w:right="0" w:hanging="0"/>
        <w:contextualSpacing/>
        <w:rPr/>
      </w:pPr>
      <w:r>
        <w:rPr>
          <w:rFonts w:eastAsia="Times New Roman" w:cs="Times New Roman" w:ascii="Times New Roman" w:hAnsi="Times New Roman"/>
          <w:sz w:val="24"/>
          <w:szCs w:val="24"/>
          <w:lang w:eastAsia="es-AR"/>
        </w:rPr>
        <w:t>Caja: $</w:t>
      </w:r>
      <w:r>
        <w:rPr>
          <w:rFonts w:eastAsia="Times New Roman" w:cs="Times New Roman" w:ascii="Times New Roman" w:hAnsi="Times New Roman"/>
          <w:color w:val="C9211E"/>
          <w:sz w:val="24"/>
          <w:szCs w:val="24"/>
          <w:lang w:eastAsia="es-AR"/>
        </w:rPr>
        <w:t xml:space="preserve"> -233.917,66</w:t>
      </w:r>
    </w:p>
    <w:p>
      <w:pPr>
        <w:pStyle w:val="Normal"/>
        <w:spacing w:lineRule="auto" w:line="240" w:before="280" w:after="280"/>
        <w:ind w:left="0" w:right="0" w:hanging="0"/>
        <w:contextualSpacing/>
        <w:rPr/>
      </w:pPr>
      <w:r>
        <w:rPr>
          <w:rFonts w:eastAsia="Times New Roman" w:cs="Times New Roman" w:ascii="Times New Roman" w:hAnsi="Times New Roman"/>
          <w:sz w:val="24"/>
          <w:szCs w:val="24"/>
          <w:lang w:eastAsia="es-AR"/>
        </w:rPr>
        <w:t>Fondo de Reserva: $ 38.125,00    En dólares: U$S0,-</w:t>
      </w:r>
    </w:p>
    <w:p>
      <w:pPr>
        <w:pStyle w:val="Normal"/>
        <w:spacing w:lineRule="auto" w:line="240" w:before="280" w:after="280"/>
        <w:contextualSpacing/>
        <w:rPr/>
      </w:pPr>
      <w:r>
        <w:rPr>
          <w:rFonts w:eastAsia="Times New Roman" w:cs="Times New Roman" w:ascii="Times New Roman" w:hAnsi="Times New Roman"/>
          <w:sz w:val="24"/>
          <w:szCs w:val="24"/>
          <w:lang w:eastAsia="es-AR"/>
        </w:rPr>
        <w:t xml:space="preserve">Deuda: </w:t>
      </w:r>
      <w:r>
        <w:rPr>
          <w:rFonts w:eastAsia="Times New Roman" w:cs="Times New Roman" w:ascii="Times New Roman" w:hAnsi="Times New Roman"/>
          <w:color w:val="000000"/>
          <w:sz w:val="24"/>
          <w:szCs w:val="24"/>
          <w:lang w:eastAsia="es-AR"/>
        </w:rPr>
        <w:t xml:space="preserve"> </w:t>
      </w:r>
      <w:r>
        <w:rPr>
          <w:rFonts w:eastAsia="Times New Roman" w:cs="Times New Roman" w:ascii="Times New Roman" w:hAnsi="Times New Roman"/>
          <w:color w:val="C9211E"/>
          <w:sz w:val="24"/>
          <w:szCs w:val="24"/>
          <w:lang w:eastAsia="es-AR"/>
        </w:rPr>
        <w:t>$ 138.514,75</w:t>
      </w:r>
    </w:p>
    <w:p>
      <w:pPr>
        <w:pStyle w:val="Normal"/>
        <w:spacing w:lineRule="auto" w:line="240" w:before="280" w:after="280"/>
        <w:contextualSpacing/>
        <w:rPr/>
      </w:pPr>
      <w:r>
        <w:rPr>
          <w:rFonts w:eastAsia="Times New Roman" w:cs="Times New Roman" w:ascii="Times New Roman" w:hAnsi="Times New Roman"/>
          <w:color w:val="000000"/>
          <w:sz w:val="24"/>
          <w:szCs w:val="24"/>
          <w:lang w:eastAsia="es-AR"/>
        </w:rPr>
        <w:t>Plazo Fijo: $ 169.414,56</w:t>
      </w:r>
    </w:p>
    <w:p>
      <w:pPr>
        <w:pStyle w:val="Normal"/>
        <w:spacing w:lineRule="auto" w:line="240" w:before="280" w:after="280"/>
        <w:contextualSpacing/>
        <w:rPr>
          <w:rFonts w:ascii="Times New Roman" w:hAnsi="Times New Roman" w:eastAsia="Times New Roman" w:cs="Times New Roman"/>
          <w:color w:val="000000"/>
          <w:sz w:val="24"/>
          <w:szCs w:val="24"/>
          <w:lang w:eastAsia="es-AR"/>
        </w:rPr>
      </w:pPr>
      <w:r>
        <w:rPr>
          <w:rFonts w:eastAsia="Times New Roman" w:cs="Times New Roman" w:ascii="Times New Roman" w:hAnsi="Times New Roman"/>
          <w:color w:val="000000"/>
          <w:sz w:val="24"/>
          <w:szCs w:val="24"/>
          <w:lang w:eastAsia="es-AR"/>
        </w:rPr>
      </w:r>
    </w:p>
    <w:p>
      <w:pPr>
        <w:pStyle w:val="Normal"/>
        <w:spacing w:lineRule="auto" w:line="240" w:before="280" w:after="280"/>
        <w:contextualSpacing/>
        <w:rPr>
          <w:rFonts w:ascii="sans-serif" w:hAnsi="sans-serif"/>
          <w:color w:val="C9211E"/>
          <w:sz w:val="14"/>
        </w:rPr>
      </w:pPr>
      <w:r>
        <w:rPr>
          <w:rFonts w:eastAsia="Times New Roman" w:cs="Times New Roman" w:ascii="Times New Roman" w:hAnsi="Times New Roman"/>
          <w:color w:val="C9211E"/>
          <w:sz w:val="24"/>
          <w:szCs w:val="24"/>
          <w:lang w:eastAsia="es-AR"/>
        </w:rPr>
        <w:t>CORTEZ RAÚL OMAR: $ 65.601,36</w:t>
      </w:r>
    </w:p>
    <w:p>
      <w:pPr>
        <w:pStyle w:val="Normal"/>
        <w:spacing w:lineRule="auto" w:line="240" w:before="280" w:after="280"/>
        <w:contextualSpacing/>
        <w:rPr>
          <w:rFonts w:ascii="sans-serif" w:hAnsi="sans-serif"/>
          <w:color w:val="C9211E"/>
          <w:sz w:val="20"/>
        </w:rPr>
      </w:pPr>
      <w:r>
        <w:rPr>
          <w:rFonts w:eastAsia="Times New Roman" w:cs="Times New Roman" w:ascii="Times New Roman" w:hAnsi="Times New Roman"/>
          <w:color w:val="C9211E"/>
          <w:sz w:val="24"/>
          <w:szCs w:val="24"/>
          <w:lang w:eastAsia="es-AR"/>
        </w:rPr>
        <w:t>GPS SAN JUAN S.R.L: $ 66.476,19</w:t>
      </w:r>
    </w:p>
    <w:p>
      <w:pPr>
        <w:pStyle w:val="Normal"/>
        <w:spacing w:lineRule="auto" w:line="240" w:before="280" w:after="280"/>
        <w:contextualSpacing/>
        <w:rPr>
          <w:rFonts w:ascii="sans-serif" w:hAnsi="sans-serif"/>
          <w:color w:val="C9211E"/>
          <w:sz w:val="20"/>
        </w:rPr>
      </w:pPr>
      <w:r>
        <w:rPr>
          <w:rFonts w:eastAsia="Times New Roman" w:cs="Times New Roman" w:ascii="Times New Roman" w:hAnsi="Times New Roman"/>
          <w:color w:val="C9211E"/>
          <w:sz w:val="24"/>
          <w:szCs w:val="24"/>
          <w:lang w:eastAsia="es-AR"/>
        </w:rPr>
        <w:t>PECHIEU GASTON: $ 6.437,20</w:t>
      </w:r>
    </w:p>
    <w:p>
      <w:pPr>
        <w:pStyle w:val="Normal"/>
        <w:spacing w:lineRule="auto" w:line="240" w:before="280" w:after="280"/>
        <w:contextualSpacing/>
        <w:rPr>
          <w:rFonts w:ascii="Times New Roman" w:hAnsi="Times New Roman" w:eastAsia="Times New Roman" w:cs="Times New Roman"/>
          <w:color w:val="000000"/>
          <w:sz w:val="24"/>
          <w:szCs w:val="24"/>
          <w:lang w:eastAsia="es-AR"/>
        </w:rPr>
      </w:pPr>
      <w:r>
        <w:rPr>
          <w:rFonts w:eastAsia="Times New Roman" w:cs="Times New Roman" w:ascii="Times New Roman" w:hAnsi="Times New Roman"/>
          <w:color w:val="000000"/>
          <w:sz w:val="24"/>
          <w:szCs w:val="24"/>
          <w:lang w:eastAsia="es-AR"/>
        </w:rPr>
      </w:r>
    </w:p>
    <w:p>
      <w:pPr>
        <w:pStyle w:val="Normal"/>
        <w:spacing w:lineRule="auto" w:line="240" w:before="280" w:after="280"/>
        <w:contextualSpacing/>
        <w:rPr>
          <w:rFonts w:ascii="Times New Roman" w:hAnsi="Times New Roman" w:eastAsia="Times New Roman" w:cs="Times New Roman"/>
          <w:color w:val="000000"/>
          <w:sz w:val="24"/>
          <w:szCs w:val="24"/>
          <w:lang w:eastAsia="es-AR"/>
        </w:rPr>
      </w:pPr>
      <w:r>
        <w:rPr>
          <w:rFonts w:eastAsia="Times New Roman" w:cs="Times New Roman" w:ascii="Times New Roman" w:hAnsi="Times New Roman"/>
          <w:color w:val="000000"/>
          <w:sz w:val="24"/>
          <w:szCs w:val="24"/>
          <w:lang w:eastAsia="es-AR"/>
        </w:rPr>
      </w:r>
    </w:p>
    <w:p>
      <w:pPr>
        <w:pStyle w:val="Normal"/>
        <w:spacing w:lineRule="auto" w:line="240" w:before="280" w:after="280"/>
        <w:rPr>
          <w:rFonts w:ascii="Times New Roman" w:hAnsi="Times New Roman" w:eastAsia="Times New Roman" w:cs="Times New Roman"/>
          <w:b/>
          <w:b/>
          <w:bCs/>
          <w:sz w:val="24"/>
          <w:szCs w:val="24"/>
          <w:lang w:eastAsia="es-AR"/>
        </w:rPr>
      </w:pPr>
      <w:r>
        <w:rPr>
          <w:rFonts w:eastAsia="Times New Roman" w:cs="Times New Roman" w:ascii="Times New Roman" w:hAnsi="Times New Roman"/>
          <w:b/>
          <w:bCs/>
          <w:sz w:val="24"/>
          <w:szCs w:val="24"/>
          <w:lang w:eastAsia="es-AR"/>
        </w:rPr>
        <w:t>3. PRESUPUESTO APROBADOS:</w:t>
      </w:r>
    </w:p>
    <w:p>
      <w:pPr>
        <w:pStyle w:val="Normal"/>
        <w:spacing w:lineRule="auto" w:line="240" w:before="280" w:after="280"/>
        <w:rPr>
          <w:rFonts w:ascii="Times New Roman" w:hAnsi="Times New Roman" w:eastAsia="Times New Roman" w:cs="Times New Roman"/>
          <w:b/>
          <w:b/>
          <w:bCs/>
          <w:sz w:val="24"/>
          <w:szCs w:val="24"/>
          <w:lang w:eastAsia="es-AR"/>
        </w:rPr>
      </w:pPr>
      <w:r>
        <w:rPr>
          <w:rFonts w:eastAsia="Times New Roman" w:cs="Times New Roman" w:ascii="Times New Roman" w:hAnsi="Times New Roman"/>
          <w:b/>
          <w:bCs/>
          <w:sz w:val="24"/>
          <w:szCs w:val="24"/>
          <w:lang w:eastAsia="es-AR"/>
        </w:rPr>
        <w:t>sin novedad</w:t>
      </w:r>
    </w:p>
    <w:p>
      <w:pPr>
        <w:pStyle w:val="Normal"/>
        <w:spacing w:lineRule="auto" w:line="240" w:before="280" w:after="280"/>
        <w:rPr/>
      </w:pPr>
      <w:r>
        <w:rPr>
          <w:rFonts w:eastAsia="Times New Roman" w:cs="Times New Roman" w:ascii="Times New Roman" w:hAnsi="Times New Roman"/>
          <w:b/>
          <w:bCs/>
          <w:sz w:val="24"/>
          <w:szCs w:val="24"/>
          <w:lang w:eastAsia="es-AR"/>
        </w:rPr>
        <w:t>4. STATUS DE CONEXIONES TÉCNICAS DEL IXP UAQ:</w:t>
      </w:r>
    </w:p>
    <w:p>
      <w:pPr>
        <w:pStyle w:val="Normal"/>
        <w:spacing w:lineRule="auto" w:line="240" w:before="280" w:after="280"/>
        <w:rPr>
          <w:rFonts w:ascii="Times New Roman" w:hAnsi="Times New Roman" w:eastAsia="Times New Roman" w:cs="Times New Roman"/>
          <w:b/>
          <w:b/>
          <w:bCs/>
          <w:sz w:val="24"/>
          <w:szCs w:val="24"/>
          <w:lang w:eastAsia="es-AR"/>
        </w:rPr>
      </w:pPr>
      <w:r>
        <w:rPr>
          <w:rFonts w:eastAsia="Times New Roman" w:cs="Times New Roman" w:ascii="Times New Roman" w:hAnsi="Times New Roman"/>
          <w:b/>
          <w:bCs/>
          <w:sz w:val="24"/>
          <w:szCs w:val="24"/>
          <w:lang w:eastAsia="es-AR"/>
        </w:rPr>
        <w:t xml:space="preserve">Se plateo le tema del ingreso al IXP de fibra de los miembros Zetro, I-TIC y On-Power. </w:t>
      </w:r>
    </w:p>
    <w:p>
      <w:pPr>
        <w:pStyle w:val="Normal"/>
        <w:spacing w:lineRule="auto" w:line="240" w:before="280" w:after="280"/>
        <w:rPr>
          <w:rFonts w:ascii="Times New Roman" w:hAnsi="Times New Roman" w:eastAsia="Times New Roman" w:cs="Times New Roman"/>
          <w:b/>
          <w:b/>
          <w:bCs/>
          <w:sz w:val="24"/>
          <w:szCs w:val="24"/>
          <w:lang w:eastAsia="es-AR"/>
        </w:rPr>
      </w:pPr>
      <w:r>
        <w:rPr>
          <w:rFonts w:eastAsia="Times New Roman" w:cs="Times New Roman" w:ascii="Times New Roman" w:hAnsi="Times New Roman"/>
          <w:b/>
          <w:bCs/>
          <w:sz w:val="24"/>
          <w:szCs w:val="24"/>
          <w:lang w:eastAsia="es-AR"/>
        </w:rPr>
        <w:t>Existe una fibra de 48 pelos que funciona como entrada al IXP y no se encuentra terminada. Se plantea la necesidad de completar la instalación de botellas de empalme en la terraza de edificio y completar la ODF en el rack del IPX.</w:t>
      </w:r>
    </w:p>
    <w:p>
      <w:pPr>
        <w:pStyle w:val="Normal"/>
        <w:spacing w:lineRule="auto" w:line="240" w:before="280" w:after="280"/>
        <w:rPr>
          <w:rFonts w:ascii="Times New Roman" w:hAnsi="Times New Roman" w:eastAsia="Times New Roman" w:cs="Times New Roman"/>
          <w:b/>
          <w:b/>
          <w:bCs/>
          <w:sz w:val="24"/>
          <w:szCs w:val="24"/>
          <w:lang w:eastAsia="es-AR"/>
        </w:rPr>
      </w:pPr>
      <w:r>
        <w:rPr>
          <w:rFonts w:eastAsia="Times New Roman" w:cs="Times New Roman" w:ascii="Times New Roman" w:hAnsi="Times New Roman"/>
          <w:b/>
          <w:bCs/>
          <w:sz w:val="24"/>
          <w:szCs w:val="24"/>
          <w:lang w:eastAsia="es-AR"/>
        </w:rPr>
        <w:t xml:space="preserve">Personal de Intersat e Netropolys, analizarán las alternativas para completar el ingreso de la fibra de 48 pelos y poder ingresar los servicios de los miembros Zetro, I-TIC y On-Power. </w:t>
      </w:r>
      <w:r>
        <w:rPr>
          <w:rFonts w:eastAsia="Times New Roman" w:cs="Times New Roman" w:ascii="Times New Roman" w:hAnsi="Times New Roman"/>
          <w:b/>
          <w:bCs/>
          <w:sz w:val="24"/>
          <w:szCs w:val="24"/>
          <w:lang w:eastAsia="es-AR"/>
        </w:rPr>
        <w:t>Una vez completado el análisis se propondrá una o más soluciones y s</w:t>
      </w:r>
      <w:r>
        <w:rPr>
          <w:rFonts w:eastAsia="Times New Roman" w:cs="Times New Roman" w:ascii="Times New Roman" w:hAnsi="Times New Roman"/>
          <w:b/>
          <w:bCs/>
          <w:sz w:val="24"/>
          <w:szCs w:val="24"/>
          <w:lang w:eastAsia="es-AR"/>
        </w:rPr>
        <w:t>e implementará la elegida.-</w:t>
      </w:r>
    </w:p>
    <w:p>
      <w:pPr>
        <w:pStyle w:val="Normal"/>
        <w:spacing w:lineRule="auto" w:line="240" w:before="280" w:after="280"/>
        <w:rPr>
          <w:rFonts w:ascii="Times New Roman" w:hAnsi="Times New Roman" w:eastAsia="Times New Roman" w:cs="Times New Roman"/>
          <w:b/>
          <w:b/>
          <w:bCs/>
          <w:sz w:val="24"/>
          <w:szCs w:val="24"/>
          <w:lang w:eastAsia="es-AR"/>
        </w:rPr>
      </w:pPr>
      <w:r>
        <w:rPr>
          <w:rFonts w:eastAsia="Times New Roman" w:cs="Times New Roman" w:ascii="Times New Roman" w:hAnsi="Times New Roman"/>
          <w:b/>
          <w:bCs/>
          <w:sz w:val="24"/>
          <w:szCs w:val="24"/>
          <w:lang w:eastAsia="es-AR"/>
        </w:rPr>
        <w:t xml:space="preserve">Por otra parte se planteo que es posible tener redundancia en el IXP siendo en este momento innecesario la utilización de activos de los ISP en el NAP ya que se cuenta con un switch capaz de soportar conexiones por fibra de hasta 10Gbps por puerto. </w:t>
      </w:r>
    </w:p>
    <w:p>
      <w:pPr>
        <w:pStyle w:val="Normal"/>
        <w:spacing w:lineRule="auto" w:line="240" w:before="280" w:after="280"/>
        <w:rPr/>
      </w:pPr>
      <w:r>
        <w:rPr>
          <w:rFonts w:eastAsia="Times New Roman" w:cs="Times New Roman" w:ascii="Times New Roman" w:hAnsi="Times New Roman"/>
          <w:b/>
          <w:bCs/>
          <w:sz w:val="24"/>
          <w:szCs w:val="24"/>
          <w:lang w:eastAsia="es-AR"/>
        </w:rPr>
        <w:t xml:space="preserve">5- </w:t>
      </w:r>
      <w:r>
        <w:rPr>
          <w:rFonts w:eastAsia="Times New Roman" w:cs="Times New Roman" w:ascii="Times New Roman" w:hAnsi="Times New Roman"/>
          <w:sz w:val="24"/>
          <w:szCs w:val="24"/>
          <w:lang w:eastAsia="es-AR"/>
        </w:rPr>
        <w:t>STATUS DE CONEXIONES DE LOS MIEMBROS DEL IXP</w:t>
      </w:r>
    </w:p>
    <w:p>
      <w:pPr>
        <w:pStyle w:val="Normal"/>
        <w:spacing w:lineRule="auto" w:line="240" w:before="280" w:after="280"/>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t>Se presentaron los proyectos técnicos de ZETRO, I-TIC y On Power. De acuerdo al punto anterior deberán presentar un nuevo proyecto técnico que contemple el ingreso utilizando la fibra existente y la conexión directa al switch disponible del IXP-AUQ</w:t>
      </w:r>
    </w:p>
    <w:p>
      <w:pPr>
        <w:pStyle w:val="Normal"/>
        <w:spacing w:lineRule="auto" w:line="240" w:before="280" w:after="280"/>
        <w:rPr/>
      </w:pPr>
      <w:r>
        <w:rPr>
          <w:rFonts w:eastAsia="Times New Roman" w:cs="Times New Roman" w:ascii="Times New Roman" w:hAnsi="Times New Roman"/>
          <w:sz w:val="24"/>
          <w:szCs w:val="24"/>
          <w:lang w:eastAsia="es-AR"/>
        </w:rPr>
        <w:t>6- ALTAS, BAJAS Y MODIFICACIONES</w:t>
      </w:r>
    </w:p>
    <w:p>
      <w:pPr>
        <w:pStyle w:val="Normal"/>
        <w:spacing w:lineRule="auto" w:line="240" w:before="280" w:after="280"/>
        <w:rPr>
          <w:rFonts w:ascii="Times New Roman" w:hAnsi="Times New Roman" w:eastAsia="Times New Roman" w:cs="Times New Roman"/>
          <w:b/>
          <w:b/>
          <w:bCs/>
          <w:sz w:val="24"/>
          <w:szCs w:val="24"/>
          <w:lang w:eastAsia="es-AR"/>
        </w:rPr>
      </w:pPr>
      <w:r>
        <w:rPr>
          <w:rFonts w:eastAsia="Times New Roman" w:cs="Times New Roman" w:ascii="Times New Roman" w:hAnsi="Times New Roman"/>
          <w:b/>
          <w:bCs/>
          <w:sz w:val="24"/>
          <w:szCs w:val="24"/>
          <w:lang w:eastAsia="es-AR"/>
        </w:rPr>
      </w:r>
    </w:p>
    <w:p>
      <w:pPr>
        <w:pStyle w:val="Normal"/>
        <w:spacing w:lineRule="auto" w:line="240" w:before="280" w:after="280"/>
        <w:rPr>
          <w:rFonts w:ascii="Times New Roman" w:hAnsi="Times New Roman" w:eastAsia="Times New Roman" w:cs="Times New Roman"/>
          <w:b/>
          <w:b/>
          <w:bCs/>
          <w:sz w:val="24"/>
          <w:szCs w:val="24"/>
          <w:lang w:eastAsia="es-AR"/>
        </w:rPr>
      </w:pPr>
      <w:r>
        <w:rPr>
          <w:rFonts w:eastAsia="Times New Roman" w:cs="Times New Roman" w:ascii="Times New Roman" w:hAnsi="Times New Roman"/>
          <w:b/>
          <w:bCs/>
          <w:sz w:val="24"/>
          <w:szCs w:val="24"/>
          <w:lang w:eastAsia="es-AR"/>
        </w:rPr>
        <w:t xml:space="preserve">7 - REUNIÓN DE LA SUBCOMISIÓN ADMINISTRADORA DEL IXP CABASE REGIONAL UAQ: </w:t>
      </w:r>
    </w:p>
    <w:p>
      <w:pPr>
        <w:pStyle w:val="Normal"/>
        <w:spacing w:lineRule="auto" w:line="240" w:before="280" w:after="280"/>
        <w:ind w:left="720" w:right="0" w:hanging="0"/>
        <w:contextualSpacing/>
        <w:rPr/>
      </w:pPr>
      <w:r>
        <w:rPr>
          <w:rFonts w:eastAsia="Times New Roman" w:cs="Times New Roman" w:ascii="Times New Roman" w:hAnsi="Times New Roman"/>
          <w:sz w:val="24"/>
          <w:szCs w:val="24"/>
          <w:lang w:eastAsia="es-AR"/>
        </w:rPr>
        <w:t xml:space="preserve">FECHA DE PRÓXIMA REUNIÓN: </w:t>
      </w:r>
      <w:r>
        <w:rPr>
          <w:rFonts w:eastAsia="Times New Roman" w:cs="Times New Roman" w:ascii="Times New Roman" w:hAnsi="Times New Roman"/>
          <w:b/>
          <w:sz w:val="24"/>
          <w:szCs w:val="24"/>
          <w:lang w:eastAsia="es-AR"/>
        </w:rPr>
        <w:t xml:space="preserve"> 1</w:t>
      </w:r>
      <w:r>
        <w:rPr>
          <w:rFonts w:eastAsia="Times New Roman" w:cs="Times New Roman" w:ascii="Times New Roman" w:hAnsi="Times New Roman"/>
          <w:b/>
          <w:color w:val="auto"/>
          <w:kern w:val="0"/>
          <w:sz w:val="24"/>
          <w:szCs w:val="24"/>
          <w:lang w:val="es-AR" w:eastAsia="es-AR" w:bidi="ar-SA"/>
        </w:rPr>
        <w:t>3 de mayo de 2021</w:t>
      </w:r>
      <w:r>
        <w:rPr>
          <w:rFonts w:eastAsia="Times New Roman" w:cs="Times New Roman" w:ascii="Times New Roman" w:hAnsi="Times New Roman"/>
          <w:b/>
          <w:sz w:val="24"/>
          <w:szCs w:val="24"/>
          <w:lang w:eastAsia="es-AR"/>
        </w:rPr>
        <w:t xml:space="preserve">, </w:t>
      </w:r>
      <w:r>
        <w:rPr>
          <w:rFonts w:eastAsia="Times New Roman" w:cs="Times New Roman" w:ascii="Times New Roman" w:hAnsi="Times New Roman"/>
          <w:b/>
          <w:bCs/>
          <w:sz w:val="24"/>
          <w:szCs w:val="24"/>
          <w:lang w:eastAsia="es-AR"/>
        </w:rPr>
        <w:t>a las 9:00</w:t>
      </w:r>
    </w:p>
    <w:p>
      <w:pPr>
        <w:pStyle w:val="Normal"/>
        <w:spacing w:lineRule="auto" w:line="240" w:before="280" w:after="280"/>
        <w:rPr/>
      </w:pPr>
      <w:r>
        <w:rPr>
          <w:rFonts w:eastAsia="Times New Roman" w:cs="Times New Roman" w:ascii="Times New Roman" w:hAnsi="Times New Roman"/>
          <w:sz w:val="24"/>
          <w:szCs w:val="24"/>
          <w:lang w:eastAsia="es-AR"/>
        </w:rPr>
        <w:t>8- TEMAS VARIOS</w:t>
      </w:r>
    </w:p>
    <w:p>
      <w:pPr>
        <w:pStyle w:val="Normal"/>
        <w:spacing w:lineRule="auto" w:line="240" w:before="280" w:after="280"/>
        <w:rPr>
          <w:rFonts w:ascii="Times New Roman" w:hAnsi="Times New Roman" w:eastAsia="Times New Roman" w:cs="Times New Roman"/>
          <w:sz w:val="24"/>
          <w:szCs w:val="24"/>
          <w:lang w:eastAsia="es-AR"/>
        </w:rPr>
      </w:pPr>
      <w:r>
        <w:rPr/>
      </w:r>
    </w:p>
    <w:sectPr>
      <w:type w:val="nextPage"/>
      <w:pgSz w:w="11906" w:h="16838"/>
      <w:pgMar w:left="1701" w:right="1701" w:header="0" w:top="1417" w:footer="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OpenSymbol">
    <w:altName w:val="Arial Unicode MS"/>
    <w:charset w:val="01"/>
    <w:family w:val="roman"/>
    <w:pitch w:val="variable"/>
  </w:font>
  <w:font w:name="Liberation Sans">
    <w:altName w:val="Arial"/>
    <w:charset w:val="01"/>
    <w:family w:val="roman"/>
    <w:pitch w:val="variable"/>
  </w:font>
  <w:font w:name="sans-serif">
    <w:altName w:val="Arial"/>
    <w:charset w:val="01"/>
    <w:family w:val="roman"/>
    <w:pitch w:val="variable"/>
  </w:font>
</w:fonts>
</file>

<file path=word/settings.xml><?xml version="1.0" encoding="utf-8"?>
<w:settings xmlns:w="http://schemas.openxmlformats.org/wordprocessingml/2006/main">
  <w:zoom w:percent="180"/>
  <w:defaultTabStop w:val="708"/>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DejaVu Sans"/>
        <w:sz w:val="20"/>
        <w:szCs w:val="22"/>
        <w:lang w:val="es-AR" w:eastAsia="en-US" w:bidi="ar-SA"/>
      </w:rPr>
    </w:rPrDefault>
    <w:pPrDefault>
      <w:pPr>
        <w:suppressAutoHyphens w:val="true"/>
      </w:pPr>
    </w:pPrDefault>
  </w:docDefaults>
  <w:style w:type="paragraph" w:styleId="Normal">
    <w:name w:val="Normal"/>
    <w:qFormat/>
    <w:pPr>
      <w:widowControl/>
      <w:suppressAutoHyphens w:val="true"/>
      <w:overflowPunct w:val="true"/>
      <w:bidi w:val="0"/>
      <w:spacing w:lineRule="auto" w:line="259" w:before="0" w:after="160"/>
      <w:jc w:val="left"/>
    </w:pPr>
    <w:rPr>
      <w:rFonts w:ascii="Calibri" w:hAnsi="Calibri" w:eastAsia="Calibri" w:cs="DejaVu Sans"/>
      <w:color w:val="auto"/>
      <w:kern w:val="0"/>
      <w:sz w:val="22"/>
      <w:szCs w:val="22"/>
      <w:lang w:val="es-AR" w:eastAsia="en-US" w:bidi="ar-SA"/>
    </w:rPr>
  </w:style>
  <w:style w:type="character" w:styleId="DefaultParagraphFont">
    <w:name w:val="Default Paragraph Font"/>
    <w:qFormat/>
    <w:rPr/>
  </w:style>
  <w:style w:type="character" w:styleId="TextosinformatoCar">
    <w:name w:val="Texto sin formato Car"/>
    <w:basedOn w:val="DefaultParagraphFont"/>
    <w:qFormat/>
    <w:rPr>
      <w:rFonts w:ascii="Times New Roman" w:hAnsi="Times New Roman" w:eastAsia="Times New Roman" w:cs="Times New Roman"/>
      <w:sz w:val="24"/>
      <w:szCs w:val="24"/>
      <w:lang w:eastAsia="es-AR"/>
    </w:rPr>
  </w:style>
  <w:style w:type="character" w:styleId="EnlacedeInternet">
    <w:name w:val="Enlace de Internet"/>
    <w:rPr>
      <w:color w:val="000080"/>
      <w:u w:val="single"/>
      <w:lang w:val="zxx" w:eastAsia="zxx" w:bidi="zxx"/>
    </w:rPr>
  </w:style>
  <w:style w:type="character" w:styleId="Vietas">
    <w:name w:val="Viñetas"/>
    <w:qFormat/>
    <w:rPr>
      <w:rFonts w:ascii="OpenSymbol" w:hAnsi="OpenSymbol" w:eastAsia="OpenSymbol" w:cs="OpenSymbol"/>
    </w:rPr>
  </w:style>
  <w:style w:type="character" w:styleId="Muydestacado">
    <w:name w:val="Muy destacado"/>
    <w:qFormat/>
    <w:rPr>
      <w:b/>
      <w:bCs/>
    </w:rPr>
  </w:style>
  <w:style w:type="paragraph" w:styleId="Ttulo">
    <w:name w:val="Título"/>
    <w:basedOn w:val="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Lohit Devanagari"/>
    </w:rPr>
  </w:style>
  <w:style w:type="paragraph" w:styleId="Leyenda">
    <w:name w:val="Caption"/>
    <w:basedOn w:val="Normal"/>
    <w:qFormat/>
    <w:pPr>
      <w:suppressLineNumbers/>
      <w:spacing w:before="120" w:after="120"/>
    </w:pPr>
    <w:rPr>
      <w:rFonts w:cs="Lohit Devanagari"/>
      <w:i/>
      <w:iCs/>
      <w:sz w:val="24"/>
      <w:szCs w:val="24"/>
    </w:rPr>
  </w:style>
  <w:style w:type="paragraph" w:styleId="Ndice">
    <w:name w:val="Índice"/>
    <w:basedOn w:val="Normal"/>
    <w:qFormat/>
    <w:pPr>
      <w:suppressLineNumbers/>
    </w:pPr>
    <w:rPr>
      <w:rFonts w:cs="Lohit Devanagari"/>
    </w:rPr>
  </w:style>
  <w:style w:type="paragraph" w:styleId="ListParagraph">
    <w:name w:val="List Paragraph"/>
    <w:basedOn w:val="Normal"/>
    <w:qFormat/>
    <w:pPr>
      <w:spacing w:before="0" w:after="160"/>
      <w:ind w:left="720" w:right="0" w:hanging="0"/>
      <w:contextualSpacing/>
    </w:pPr>
    <w:rPr/>
  </w:style>
  <w:style w:type="paragraph" w:styleId="PlainText">
    <w:name w:val="Plain Text"/>
    <w:basedOn w:val="Normal"/>
    <w:qFormat/>
    <w:pPr>
      <w:spacing w:lineRule="auto" w:line="240" w:before="280" w:after="280"/>
    </w:pPr>
    <w:rPr>
      <w:rFonts w:ascii="Times New Roman" w:hAnsi="Times New Roman" w:eastAsia="Times New Roman" w:cs="Times New Roman"/>
      <w:sz w:val="24"/>
      <w:szCs w:val="24"/>
      <w:lang w:eastAsia="es-AR"/>
    </w:rPr>
  </w:style>
  <w:style w:type="paragraph" w:styleId="Contenidodelatabla">
    <w:name w:val="Contenido de la tabla"/>
    <w:basedOn w:val="Normal"/>
    <w:qFormat/>
    <w:pPr>
      <w:suppressLineNumbers/>
    </w:pPr>
    <w:rPr/>
  </w:style>
  <w:style w:type="paragraph" w:styleId="Ttulodelatabla">
    <w:name w:val="Título de la tabla"/>
    <w:basedOn w:val="Contenidodelatabla"/>
    <w:qFormat/>
    <w:pPr>
      <w:suppressLineNumbers/>
      <w:jc w:val="center"/>
    </w:pPr>
    <w:rPr>
      <w:b/>
      <w:bCs/>
    </w:rPr>
  </w:style>
  <w:style w:type="numbering" w:styleId="NoList">
    <w:name w:val="No 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ebmail.unsj.edu.ar/src/compose.php?send_to=ixpsanjuan@listas.cabase.org.ar" TargetMode="Externa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864</TotalTime>
  <Application>LibreOffice/6.4.6.2$Linux_X86_64 LibreOffice_project/40$Build-2</Application>
  <Pages>3</Pages>
  <Words>465</Words>
  <Characters>2239</Characters>
  <CharactersWithSpaces>2718</CharactersWithSpaces>
  <Paragraphs>89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2019-07-30T13:40:00Z</dcterms:created>
  <dc:creator>Miguel Morandi</dc:creator>
  <dc:description/>
  <dc:language>es-AR</dc:language>
  <cp:lastModifiedBy/>
  <dcterms:modified xsi:type="dcterms:W3CDTF">2021-05-07T10:25:57Z</dcterms:modified>
  <cp:revision>70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