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color w:val="002060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color w:val="002060"/>
          <w:sz w:val="20"/>
          <w:szCs w:val="20"/>
          <w:lang w:eastAsia="es-AR"/>
        </w:rPr>
        <w:t>CTA CONFECCIONADA POR PARTE DEL COORDINADOR TÉCNICO DEL IXP CABASE TITULAR O ALTERNO (EN SU AUSENCIA): Alejandro Cuadra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DEL NAP: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SUBCOMISIÓN ADMINISTRADORA DEL IXP/ NAP CABASE REGIONAL San Juan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TRES LETRAS QUE IDENTIFICAN AL IXP/NAP UAQ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 LA REUNIÓN: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FECHA: DÍA  </w:t>
      </w:r>
      <w:r>
        <w:rPr>
          <w:rFonts w:eastAsia="Times New Roman" w:cs="Times New Roman" w:ascii="Times New Roman" w:hAnsi="Times New Roman"/>
          <w:color w:val="auto"/>
          <w:kern w:val="0"/>
          <w:sz w:val="20"/>
          <w:szCs w:val="20"/>
          <w:lang w:val="es-AR" w:eastAsia="es-AR" w:bidi="ar-SA"/>
        </w:rPr>
        <w:t xml:space="preserve">14 de octubre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de 2021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PRESENTES EN LA REUNIÓN:</w:t>
      </w:r>
    </w:p>
    <w:tbl>
      <w:tblPr>
        <w:tblW w:w="7557" w:type="dxa"/>
        <w:jc w:val="left"/>
        <w:tblInd w:w="118" w:type="dxa"/>
        <w:tblCellMar>
          <w:top w:w="0" w:type="dxa"/>
          <w:left w:w="60" w:type="dxa"/>
          <w:bottom w:w="0" w:type="dxa"/>
          <w:right w:w="70" w:type="dxa"/>
        </w:tblCellMar>
      </w:tblPr>
      <w:tblGrid>
        <w:gridCol w:w="1246"/>
        <w:gridCol w:w="1358"/>
        <w:gridCol w:w="3121"/>
        <w:gridCol w:w="1831"/>
      </w:tblGrid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NOMBRE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APELLIDO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s-ES"/>
              </w:rPr>
              <w:t xml:space="preserve">RAZÓN SOCIAL A LA QUE REPRESENTA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 xml:space="preserve">CARGO 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Juan C.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Marquez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CABASE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Facundo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bookmarkStart w:id="0" w:name="__DdeLink__265_35811575891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</w:t>
            </w:r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aselles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es-AR" w:eastAsia="es-AR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es-AR" w:eastAsia="es-AR" w:bidi="ar-SA"/>
              </w:rPr>
              <w:t>On Power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/>
              <w:t>Hernan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Bourdieu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CLARO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Ariel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Passarelli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CLARO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/>
              <w:t>Carlos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González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CLARO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Victor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Romero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/>
              <w:t>CLARO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Miguel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Morandi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UNSJ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Ricardo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Goldberg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XF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759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Carlos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Guillen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GSP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</w:t>
            </w:r>
          </w:p>
        </w:tc>
      </w:tr>
      <w:tr>
        <w:trPr>
          <w:trHeight w:val="759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Fernanda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Romero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NetLink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Gutiérrez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Iván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Intersat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Raúl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Cortez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ZETRO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Sergio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Aprea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Netrópolys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Alejandro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Cuadra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Técnico NAP UNSJ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David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Vega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I-TIC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Nicolas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Vallejo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INTERREDES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Hugo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Leiria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Cuerpodetexto"/>
              <w:spacing w:lineRule="auto" w:line="240" w:before="280" w:after="280"/>
              <w:rPr/>
            </w:pPr>
            <w:r>
              <w:rPr/>
              <w:t>GEO FIBER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</w:tbl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TEMARIO: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1- ACTA ANTERIOR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2- ADMINISTRACIÓN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3- COMPRAS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4- STATUS DE CONEXIONES DEL IXP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5- STATUS DE CONEXIONES DE LOS MIEMBROS DEL IXP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6- ALTAS, BAJAS Y MODIFICACIONES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7- FECHA DE LA PRÓXIMA REUNIÓN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8- TEMAS VARIOS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ind w:left="0" w:right="0" w:hanging="360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1.</w:t>
      </w:r>
      <w:r>
        <w:rPr>
          <w:rFonts w:eastAsia="Times New Roman" w:cs="Times New Roman" w:ascii="Times New Roman" w:hAnsi="Times New Roman"/>
          <w:sz w:val="14"/>
          <w:szCs w:val="14"/>
          <w:lang w:eastAsia="es-AR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FECHA DEL CORREO ELECTRÓNICO CON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EL ACTA ANTERIOR CIRCULADA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 a la lista del IXP UAQ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16"/>
          <w:szCs w:val="16"/>
          <w:lang w:eastAsia="es-AR"/>
        </w:rPr>
        <w:tab/>
      </w:r>
      <w:hyperlink r:id="rId2" w:tgtFrame="Este enlace externo se abrirá en una nueva ventana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es-AR"/>
          </w:rPr>
          <w:t>ixpsanjuan@listas.cabase.org.ar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: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>06 de octubre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de 2021 </w:t>
      </w:r>
    </w:p>
    <w:p>
      <w:pPr>
        <w:pStyle w:val="Normal"/>
        <w:spacing w:lineRule="auto" w:line="240" w:before="280" w:after="280"/>
        <w:ind w:left="0" w:right="0" w:hanging="36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2. Caja, se cuenta con el siguiente detalle al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>1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>3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 xml:space="preserve"> de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>octubre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de 2021</w:t>
      </w:r>
    </w:p>
    <w:p>
      <w:pPr>
        <w:pStyle w:val="Normal"/>
        <w:spacing w:lineRule="auto" w:line="240" w:before="280" w:after="280"/>
        <w:ind w:left="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Caja: </w:t>
      </w:r>
      <w:r>
        <w:rPr>
          <w:rFonts w:eastAsia="Times New Roman" w:cs="Times New Roman" w:ascii="Times New Roman" w:hAnsi="Times New Roman"/>
          <w:color w:val="C9211E"/>
          <w:kern w:val="0"/>
          <w:sz w:val="24"/>
          <w:szCs w:val="24"/>
          <w:lang w:val="es-AR" w:eastAsia="es-AR" w:bidi="ar-SA"/>
        </w:rPr>
        <w:t>$ -82.116,84</w:t>
      </w:r>
    </w:p>
    <w:p>
      <w:pPr>
        <w:pStyle w:val="Normal"/>
        <w:spacing w:lineRule="auto" w:line="240" w:before="280" w:after="280"/>
        <w:ind w:left="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Fondo de Reserva: $ 0,-    En dólares: U$S0,-</w:t>
      </w:r>
    </w:p>
    <w:p>
      <w:pPr>
        <w:pStyle w:val="Normal"/>
        <w:spacing w:lineRule="auto" w:line="240" w:before="280" w:after="28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Deuda: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  <w:t xml:space="preserve"> </w:t>
      </w:r>
      <w:r>
        <w:rPr>
          <w:rFonts w:eastAsia="Times New Roman" w:cs="Times New Roman" w:ascii="Times New Roman" w:hAnsi="Times New Roman"/>
          <w:color w:val="C9211E"/>
          <w:sz w:val="24"/>
          <w:szCs w:val="24"/>
          <w:lang w:eastAsia="es-AR"/>
        </w:rPr>
        <w:t>$ -</w:t>
      </w:r>
      <w:r>
        <w:rPr>
          <w:rFonts w:eastAsia="Times New Roman" w:cs="Times New Roman" w:ascii="Times New Roman" w:hAnsi="Times New Roman"/>
          <w:color w:val="C9211E"/>
          <w:kern w:val="0"/>
          <w:sz w:val="24"/>
          <w:szCs w:val="24"/>
          <w:lang w:val="es-AR" w:eastAsia="es-AR" w:bidi="ar-SA"/>
        </w:rPr>
        <w:t>85.273,54</w:t>
      </w:r>
    </w:p>
    <w:p>
      <w:pPr>
        <w:pStyle w:val="Normal"/>
        <w:spacing w:lineRule="auto" w:line="240" w:before="280" w:after="280"/>
        <w:contextualSpacing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  <w:t>Plazo Fijo: $ 201.267,83</w:t>
      </w:r>
    </w:p>
    <w:p>
      <w:pPr>
        <w:pStyle w:val="Normal"/>
        <w:spacing w:lineRule="auto" w:line="240" w:before="280" w:after="2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contextualSpacing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es-AR"/>
        </w:rPr>
        <w:t>Miembros con deuda: (Cortez - Vega  y Pechieu)</w:t>
      </w:r>
    </w:p>
    <w:p>
      <w:pPr>
        <w:pStyle w:val="Normal"/>
        <w:spacing w:lineRule="auto" w:line="240" w:before="280" w:after="280"/>
        <w:contextualSpacing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3. PRESUPUESTO APROBADOS:</w:t>
      </w:r>
    </w:p>
    <w:p>
      <w:pPr>
        <w:pStyle w:val="Cuerpodetexto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es-AR" w:eastAsia="es-AR" w:bidi="ar-SA"/>
        </w:rPr>
        <w:t>A partir del 2022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 se fija el importe para los miembros especiales en:</w:t>
      </w:r>
    </w:p>
    <w:p>
      <w:pPr>
        <w:pStyle w:val="Cuerpodetexto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100 Mb. u$s 1.000 </w:t>
        <w:br/>
        <w:t>1 Gb u$s 3.000</w:t>
      </w:r>
    </w:p>
    <w:p>
      <w:pPr>
        <w:pStyle w:val="Cuerpodetexto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2 Gb. u$s 4.400</w:t>
      </w:r>
    </w:p>
    <w:p>
      <w:pPr>
        <w:pStyle w:val="Cuerpodetexto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4 Gb. u$s 6.400</w:t>
      </w:r>
    </w:p>
    <w:p>
      <w:pPr>
        <w:pStyle w:val="Cuerpodetexto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10 Gb. u$s 12.800</w:t>
      </w:r>
    </w:p>
    <w:p>
      <w:pPr>
        <w:pStyle w:val="Cuerpodetexto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/>
      </w:r>
    </w:p>
    <w:p>
      <w:pPr>
        <w:pStyle w:val="Cuerpodetexto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Para los ISP, a partir del 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 </w:t>
      </w:r>
    </w:p>
    <w:p>
      <w:pPr>
        <w:pStyle w:val="Cuerpodetexto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/>
      </w:r>
    </w:p>
    <w:p>
      <w:pPr>
        <w:pStyle w:val="Cuerpodetexto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Aporte Inicial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: U$S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1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5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00,-</w:t>
      </w:r>
    </w:p>
    <w:p>
      <w:pPr>
        <w:pStyle w:val="Cuerpodetexto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Fono de Reserva: U$S 500,-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 </w:t>
        <w:br/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4. STATUS DE CONEXIONES TÉCNICAS DEL IXP UAQ: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Alejandro comenta que la conexión física de GEO FIBER está lista, el puerto asignado es el 15 del switch, resta la configuración final y apertura de filtros que queda pendiente hasta que se tenga la capacidad disponible.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Respecto a la conexión de Netrópolys (LUMEN) ya está conectada la fibra y en comunicación con R.C.  se está viendo como administrar el balanceo.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Sergio comenta que ya están instalando el equipamiento propio y el lunes se podrá comenzar con las pruebas.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5- STATUS DE CONEXIONES DE LOS MIEMBROS DEL IXP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6- ALTAS, BAJAS Y MODIFICACIONES</w:t>
      </w:r>
    </w:p>
    <w:p>
      <w:pPr>
        <w:pStyle w:val="Normal"/>
        <w:spacing w:lineRule="auto" w:line="240" w:before="280" w:after="28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Se presentó Sergio Catalá como ISP de San Juan, quien solicitó el ingreso al IXP-UAQ. Indica que tiene licencia de ISP y que su área de influencia es en Rivadavia en el Barrio Aramburu. Tiene un poco mas de 300 clientes. El servicio es inalámbrico y está haciendo un tendido de Fibra Óptica. Se le aclara que la conexión a CABASE no reemplaza a la conexión de TIP. Los recursos de internet (ASN e Ips) los tiene en trámite. La conexión al IXP sería inalábrico y la capacidad serían unos 400 Mbps,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por lo que el contrato de transporte debería sería 200 Mbps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Para ello se deberá adecuar las capacidades cuando esté disponible los 10+10 Gbps.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</w:r>
    </w:p>
    <w:tbl>
      <w:tblPr>
        <w:tblW w:w="8728" w:type="dxa"/>
        <w:jc w:val="left"/>
        <w:tblInd w:w="45" w:type="dxa"/>
        <w:tblCellMar>
          <w:top w:w="30" w:type="dxa"/>
          <w:left w:w="45" w:type="dxa"/>
          <w:bottom w:w="30" w:type="dxa"/>
          <w:right w:w="45" w:type="dxa"/>
        </w:tblCellMar>
      </w:tblPr>
      <w:tblGrid>
        <w:gridCol w:w="386"/>
        <w:gridCol w:w="3146"/>
        <w:gridCol w:w="2871"/>
        <w:gridCol w:w="2325"/>
      </w:tblGrid>
      <w:tr>
        <w:trPr/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1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  <w:t>ISP</w:t>
            </w:r>
          </w:p>
        </w:tc>
        <w:tc>
          <w:tcPr>
            <w:tcW w:w="28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  <w:t>Claro 10 Gbps</w:t>
            </w:r>
          </w:p>
        </w:tc>
        <w:tc>
          <w:tcPr>
            <w:tcW w:w="23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  <w:t>Lumen 10 Gbps</w:t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14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rPr>
                <w:b/>
              </w:rPr>
            </w:pPr>
            <w:r>
              <w:rPr>
                <w:b/>
              </w:rPr>
              <w:t>UNSJ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/>
            </w:pPr>
            <w:r>
              <w:rPr/>
              <w:t>10</w:t>
            </w:r>
          </w:p>
        </w:tc>
        <w:tc>
          <w:tcPr>
            <w:tcW w:w="23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/>
            </w:pPr>
            <w:r>
              <w:rPr/>
              <w:t>10</w:t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14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rPr>
                <w:b/>
              </w:rPr>
            </w:pPr>
            <w:r>
              <w:rPr>
                <w:b/>
              </w:rPr>
              <w:t>BIP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/>
            </w:pPr>
            <w:r>
              <w:rPr/>
              <w:t>175</w:t>
            </w:r>
          </w:p>
        </w:tc>
        <w:tc>
          <w:tcPr>
            <w:tcW w:w="23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/>
            </w:pPr>
            <w:r>
              <w:rPr/>
              <w:t>175</w:t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14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rPr>
                <w:b/>
              </w:rPr>
            </w:pPr>
            <w:r>
              <w:rPr>
                <w:b/>
              </w:rPr>
              <w:t>Intersat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/>
            </w:pPr>
            <w:r>
              <w:rPr/>
              <w:t>750</w:t>
            </w:r>
          </w:p>
        </w:tc>
        <w:tc>
          <w:tcPr>
            <w:tcW w:w="23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/>
            </w:pPr>
            <w:r>
              <w:rPr/>
              <w:t>750</w:t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14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rPr>
                <w:b/>
              </w:rPr>
            </w:pPr>
            <w:r>
              <w:rPr>
                <w:b/>
              </w:rPr>
              <w:t>XF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/>
            </w:pPr>
            <w:r>
              <w:rPr/>
              <w:t>900</w:t>
            </w:r>
          </w:p>
        </w:tc>
        <w:tc>
          <w:tcPr>
            <w:tcW w:w="23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/>
            </w:pPr>
            <w:r>
              <w:rPr/>
              <w:t>900</w:t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14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rPr>
                <w:b/>
              </w:rPr>
            </w:pPr>
            <w:r>
              <w:rPr>
                <w:b/>
              </w:rPr>
              <w:t>Netrópolys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/>
            </w:pPr>
            <w:r>
              <w:rPr/>
              <w:t>2165</w:t>
            </w:r>
          </w:p>
        </w:tc>
        <w:tc>
          <w:tcPr>
            <w:tcW w:w="23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/>
            </w:pPr>
            <w:r>
              <w:rPr/>
              <w:t>2165</w:t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14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rPr>
                <w:b/>
              </w:rPr>
            </w:pPr>
            <w:r>
              <w:rPr>
                <w:b/>
              </w:rPr>
              <w:t>GPS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/>
            </w:pPr>
            <w:r>
              <w:rPr/>
              <w:t>0</w:t>
            </w:r>
          </w:p>
        </w:tc>
        <w:tc>
          <w:tcPr>
            <w:tcW w:w="23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/>
            </w:pPr>
            <w:r>
              <w:rPr/>
              <w:t>0</w:t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14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rPr>
                <w:b/>
              </w:rPr>
            </w:pPr>
            <w:r>
              <w:rPr>
                <w:b/>
              </w:rPr>
              <w:t>Zetro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/>
            </w:pPr>
            <w:r>
              <w:rPr/>
              <w:t>700</w:t>
            </w:r>
          </w:p>
        </w:tc>
        <w:tc>
          <w:tcPr>
            <w:tcW w:w="23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/>
            </w:pPr>
            <w:r>
              <w:rPr/>
              <w:t>700</w:t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14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rPr>
                <w:b/>
              </w:rPr>
            </w:pPr>
            <w:r>
              <w:rPr>
                <w:b/>
              </w:rPr>
              <w:t>I-Tic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/>
            </w:pPr>
            <w:r>
              <w:rPr/>
              <w:t>1000</w:t>
            </w:r>
          </w:p>
        </w:tc>
        <w:tc>
          <w:tcPr>
            <w:tcW w:w="23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/>
            </w:pPr>
            <w:r>
              <w:rPr/>
              <w:t>1000</w:t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14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rPr>
                <w:b/>
              </w:rPr>
            </w:pPr>
            <w:r>
              <w:rPr>
                <w:b/>
              </w:rPr>
              <w:t>On Power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/>
            </w:pPr>
            <w:r>
              <w:rPr/>
              <w:t>1250</w:t>
            </w:r>
          </w:p>
        </w:tc>
        <w:tc>
          <w:tcPr>
            <w:tcW w:w="23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/>
            </w:pPr>
            <w:r>
              <w:rPr/>
              <w:t>1250</w:t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314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rPr>
                <w:b/>
              </w:rPr>
            </w:pPr>
            <w:r>
              <w:rPr>
                <w:b/>
              </w:rPr>
              <w:t>Interredes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/>
            </w:pPr>
            <w:r>
              <w:rPr/>
              <w:t>1550</w:t>
            </w:r>
          </w:p>
        </w:tc>
        <w:tc>
          <w:tcPr>
            <w:tcW w:w="23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/>
            </w:pPr>
            <w:r>
              <w:rPr/>
              <w:t>1550</w:t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314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rPr>
                <w:b/>
              </w:rPr>
            </w:pPr>
            <w:r>
              <w:rPr>
                <w:b/>
              </w:rPr>
              <w:t>Geo (nuevo)</w:t>
            </w:r>
          </w:p>
        </w:tc>
        <w:tc>
          <w:tcPr>
            <w:tcW w:w="28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/>
            </w:pPr>
            <w:r>
              <w:rPr/>
              <w:t>1500</w:t>
            </w:r>
          </w:p>
        </w:tc>
        <w:tc>
          <w:tcPr>
            <w:tcW w:w="23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/>
            </w:pPr>
            <w:r>
              <w:rPr/>
              <w:t>1500</w:t>
            </w:r>
          </w:p>
        </w:tc>
      </w:tr>
      <w:tr>
        <w:trPr/>
        <w:tc>
          <w:tcPr>
            <w:tcW w:w="38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idodelatabla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14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idodelatabla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7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/>
            </w:pPr>
            <w:r>
              <w:rPr/>
              <w:t>10000</w:t>
            </w:r>
          </w:p>
        </w:tc>
        <w:tc>
          <w:tcPr>
            <w:tcW w:w="232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idodelatabla"/>
              <w:spacing w:before="0" w:after="160"/>
              <w:jc w:val="right"/>
              <w:rPr/>
            </w:pPr>
            <w:r>
              <w:rPr/>
              <w:t>10000</w:t>
            </w:r>
          </w:p>
        </w:tc>
      </w:tr>
    </w:tbl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Se deja para una reunión interna la definición de las condiciones de ingreso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posterior a la ampliación del enlace para verificar la capacidad disponible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7 - REUNIÓN DE LA SUBCOMISIÓN ADMINISTRADORA DEL IXP CABASE REGIONAL UAQ: </w:t>
      </w:r>
    </w:p>
    <w:p>
      <w:pPr>
        <w:pStyle w:val="Normal"/>
        <w:spacing w:lineRule="auto" w:line="240" w:before="280" w:after="280"/>
        <w:ind w:left="72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FECHA DE PRÓXIMA REUNIÓN: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AR"/>
        </w:rPr>
        <w:t xml:space="preserve"> 10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es-AR" w:eastAsia="es-AR" w:bidi="ar-SA"/>
        </w:rPr>
        <w:t xml:space="preserve"> de noviembre de 2021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AR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a las 9:00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8- TEMAS VARIOS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es-A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es-AR" w:eastAsia="en-US" w:bidi="ar-SA"/>
    </w:rPr>
  </w:style>
  <w:style w:type="character" w:styleId="DefaultParagraphFont">
    <w:name w:val="Default Paragraph Font"/>
    <w:qFormat/>
    <w:rPr/>
  </w:style>
  <w:style w:type="character" w:styleId="TextosinformatoCar">
    <w:name w:val="Texto sin formato C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es-AR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PlainText">
    <w:name w:val="Plain Tex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ebmail.unsj.edu.ar/src/compose.php?send_to=ixpsanjuan@listas.cabase.org.a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Application>LibreOffice/6.4.7.2$Linux_X86_64 LibreOffice_project/40$Build-2</Application>
  <Pages>4</Pages>
  <Words>609</Words>
  <Characters>2819</Characters>
  <CharactersWithSpaces>3283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2019-07-30T13:40:00Z</dcterms:created>
  <dc:creator>Miguel Morandi</dc:creator>
  <dc:description/>
  <dc:language>es-AR</dc:language>
  <cp:lastModifiedBy/>
  <dcterms:modified xsi:type="dcterms:W3CDTF">2021-10-27T11:58:02Z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