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FECHA: DÍA 13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 de enero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2022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Andrés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Pugawko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/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GSP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Pechieu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Roberto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Aguero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Hugo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Martinez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Sebastián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Sánchez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 xml:space="preserve">Julio 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 xml:space="preserve">Nostray 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AustralNet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enero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Caja: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$ 91.708,39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$ 105.625,00,-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102.715,69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$ 220.060,42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CORTEZ RAÚL OMAR: $21.072,15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GPS SAN JUAN S.R.L.: $11.737,00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VEGA CESAR AUGUSTO: $25.025,22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PECHIEU GASTON: $44.881,32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Cuerpodetexto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 xml:space="preserve">Se vuelve a plantear el tema de compartir el cache de los CDNs de los miembros del IXP. Sergio comenta nuevamente que está dispuesto a compartir el cache de Facebook. También comenta que tiene varias caídas del cache y tardan una semana en resolver el problema. 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Andrés comenta que se puede hacer, hay que resolver el problema del prorrateo de la carga y determinar cuanto consume cada uno.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Ariel comenta que no tiene noticias de la ampliación de capacidad. 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 xml:space="preserve">Sergio Catalá ya firmó el contrato con CLARO por 150 Mbps. Como toda la capacidad estaba asignada, Netropolys </w:t>
      </w:r>
      <w:r>
        <w:rPr>
          <w:b/>
          <w:bCs/>
        </w:rPr>
        <w:t>bajo 150 Mbps con CLARO para liberar esta capacidad para Sergio. A su vez contrata otros 150 Mbps con Netropolys/LUMEN.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>Juan Carlos comenta que Matías González evalúa conectarse a fines de febrero de 2022 y ver que capacidad hay disponible, estima conectarse con una capacidad de 300 Mbps de transporte en total.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10 de febrero de 2022, a las 9:30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Application>LibreOffice/6.4.7.2$Linux_X86_64 LibreOffice_project/40$Build-2</Application>
  <Pages>4</Pages>
  <Words>450</Words>
  <Characters>2300</Characters>
  <CharactersWithSpaces>2643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2022-01-17T11:30:40Z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