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10</w:t>
      </w:r>
      <w:r>
        <w:rPr>
          <w:rFonts w:eastAsia="Times New Roman" w:cs="Times New Roman" w:ascii="Times New Roman" w:hAnsi="Times New Roman"/>
          <w:color w:val="auto"/>
          <w:kern w:val="0"/>
          <w:sz w:val="20"/>
          <w:szCs w:val="20"/>
          <w:lang w:val="es-AR" w:eastAsia="es-AR" w:bidi="ar-SA"/>
        </w:rPr>
        <w:t xml:space="preserve"> de marzo </w:t>
      </w:r>
      <w:r>
        <w:rPr>
          <w:rFonts w:eastAsia="Times New Roman" w:cs="Times New Roman" w:ascii="Times New Roman" w:hAnsi="Times New Roman"/>
          <w:sz w:val="20"/>
          <w:szCs w:val="20"/>
          <w:lang w:eastAsia="es-AR"/>
        </w:rPr>
        <w:t>de 2022</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 xml:space="preserve">CARGO </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Andrés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Pugawko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Hernan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Ariel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Carlos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Romero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Calibri" w:cs="DejaVu Sans"/>
                <w:color w:val="auto"/>
                <w:kern w:val="0"/>
                <w:sz w:val="22"/>
                <w:szCs w:val="22"/>
                <w:lang w:val="es-AR" w:eastAsia="en-US" w:bidi="ar-SA"/>
              </w:rPr>
              <w:t>Carlos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GSP</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759"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Gastón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Pechieu</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NetLink</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Roberto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Aguero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Nicolas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Vallejo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Hugo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Leiria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Martinez</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Sebastián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Sánchez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 xml:space="preserve">Julio </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 xml:space="preserve">Nostray </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AustralNet</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22 de febrero de 2022</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2. Caja, se cuenta con el siguiente detalle al </w:t>
      </w:r>
      <w:r>
        <w:rPr>
          <w:rFonts w:eastAsia="Times New Roman" w:cs="Times New Roman" w:ascii="Times New Roman" w:hAnsi="Times New Roman"/>
          <w:color w:val="auto"/>
          <w:kern w:val="0"/>
          <w:sz w:val="24"/>
          <w:szCs w:val="24"/>
          <w:lang w:val="es-AR" w:eastAsia="es-AR" w:bidi="ar-SA"/>
        </w:rPr>
        <w:t>10 de febrero</w:t>
      </w:r>
      <w:r>
        <w:rPr>
          <w:rFonts w:eastAsia="Times New Roman" w:cs="Times New Roman" w:ascii="Times New Roman" w:hAnsi="Times New Roman"/>
          <w:sz w:val="24"/>
          <w:szCs w:val="24"/>
          <w:lang w:eastAsia="es-AR"/>
        </w:rPr>
        <w:t xml:space="preserve"> de 2022</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w:t>
      </w:r>
      <w:r>
        <w:rPr>
          <w:rFonts w:eastAsia="Times New Roman" w:cs="Times New Roman" w:ascii="Times New Roman" w:hAnsi="Times New Roman"/>
          <w:color w:val="auto"/>
          <w:kern w:val="0"/>
          <w:sz w:val="24"/>
          <w:szCs w:val="24"/>
          <w:lang w:val="es-AR" w:eastAsia="es-AR" w:bidi="ar-SA"/>
        </w:rPr>
        <w:t xml:space="preserve"> </w:t>
      </w:r>
      <w:r>
        <w:rPr>
          <w:rFonts w:eastAsia="Times New Roman" w:cs="Times New Roman" w:ascii="Times New Roman" w:hAnsi="Times New Roman"/>
          <w:color w:val="C9211E"/>
          <w:kern w:val="0"/>
          <w:sz w:val="24"/>
          <w:szCs w:val="24"/>
          <w:lang w:val="es-AR" w:eastAsia="es-AR" w:bidi="ar-SA"/>
        </w:rPr>
        <w:t>$ -85.113,49</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$ 105.625,00,-    En dólares: U$S0,-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sz w:val="24"/>
          <w:szCs w:val="24"/>
          <w:lang w:eastAsia="es-AR"/>
        </w:rPr>
        <w:t>$ -</w:t>
      </w:r>
      <w:r>
        <w:rPr>
          <w:rFonts w:eastAsia="Times New Roman" w:cs="Times New Roman" w:ascii="Times New Roman" w:hAnsi="Times New Roman"/>
          <w:color w:val="C9211E"/>
          <w:kern w:val="0"/>
          <w:sz w:val="24"/>
          <w:szCs w:val="24"/>
          <w:lang w:val="es-AR" w:eastAsia="es-AR" w:bidi="ar-SA"/>
        </w:rPr>
        <w:t>143.484,22</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$ 230.104,82</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CORTEZ RAÚL OMAR: $ 44.267,85</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GPS SAN JUAN S.R.L.: $ 17.639,38</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PECHIEU GASTON: $ 34.390,62</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TELMEX ARGENTINA SA: $ 2.918,52</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VEGA CESAR AUGUSTO: $ 44.267,85</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color w:val="auto"/>
        </w:rPr>
      </w:pPr>
      <w:r>
        <w:rPr>
          <w:color w:val="auto"/>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Cuerpodetexto"/>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jc w:val="both"/>
        <w:rPr>
          <w:b/>
          <w:b/>
          <w:bCs/>
        </w:rPr>
      </w:pPr>
      <w:r>
        <w:rPr>
          <w:b/>
          <w:bCs/>
        </w:rPr>
        <w:t>Alejandro informa que llegaron los nuevos cache de Google (2 servidores Dell) y también los módulos SFP+. Falta el router que viene preconfigurado y sin ese router no se puede instalar.</w:t>
      </w:r>
    </w:p>
    <w:p>
      <w:pPr>
        <w:pStyle w:val="Normal"/>
        <w:spacing w:lineRule="auto" w:line="240" w:before="280" w:after="280"/>
        <w:jc w:val="both"/>
        <w:rPr>
          <w:b/>
          <w:b/>
          <w:bCs/>
        </w:rPr>
      </w:pPr>
      <w:r>
        <w:rPr>
          <w:b/>
          <w:bCs/>
        </w:rPr>
        <w:t>Se realizó el reinicio del switch que estaba pendiente para la actualización del firware. Ahora harán actualizaciones en la comunidades desde Ruteo Central.</w:t>
      </w:r>
    </w:p>
    <w:p>
      <w:pPr>
        <w:pStyle w:val="Normal"/>
        <w:spacing w:lineRule="auto" w:line="240" w:before="280" w:after="280"/>
        <w:jc w:val="both"/>
        <w:rPr>
          <w:b/>
          <w:b/>
          <w:bCs/>
        </w:rPr>
      </w:pPr>
      <w:r>
        <w:rPr>
          <w:b/>
          <w:bCs/>
        </w:rPr>
        <w:t>Se solicita a R.C. que todos los miembros del IXP puedan acceder a la información  de los puertos del huawei (miembros y equipamiento) en observium.</w:t>
      </w:r>
    </w:p>
    <w:p>
      <w:pPr>
        <w:pStyle w:val="Normal"/>
        <w:spacing w:lineRule="auto" w:line="240" w:before="280" w:after="280"/>
        <w:jc w:val="both"/>
        <w:rPr>
          <w:b/>
          <w:b/>
          <w:bCs/>
        </w:rPr>
      </w:pPr>
      <w:r>
        <w:rPr>
          <w:b/>
          <w:bCs/>
        </w:rPr>
        <w:t>Ariel de Claro informa que no tiene novedades respecto al servicio. Se sigue trabajando para una solución de ampliar la capacidad.</w:t>
      </w:r>
    </w:p>
    <w:p>
      <w:pPr>
        <w:pStyle w:val="Normal"/>
        <w:spacing w:lineRule="auto" w:line="240" w:before="280" w:after="280"/>
        <w:jc w:val="both"/>
        <w:rPr>
          <w:b/>
          <w:b/>
          <w:bCs/>
        </w:rPr>
      </w:pPr>
      <w:r>
        <w:rPr>
          <w:b/>
          <w:bCs/>
        </w:rPr>
        <w:t xml:space="preserve">Respecto a San Juan Innova, Ivan informa que están esperando nuestra respuesta. Ariel y Sergio deben informar la forma de la desvinculación del servicio de Claro y Netropolys (Lumen). Falta definir internamente los detalles de los servicios requeridos (transito y TIP). </w:t>
      </w:r>
      <w:r>
        <w:rPr>
          <w:b/>
          <w:bCs/>
        </w:rPr>
        <w:t xml:space="preserve">Sergio informa que con Lumen hay que pagar el 50% de lo que resta, es lo que dice el contrato. Por otro lado Netropolys hizo inversiones en equipamiento, personal, etc y hay que ver que si amortizó y analizar ese costo. Sergio plantea dudas respecto a la cotización de Innova, precisa detalles de la propuesta. </w:t>
      </w:r>
      <w:r>
        <w:rPr>
          <w:b/>
          <w:bCs/>
        </w:rPr>
        <w:t xml:space="preserve">Se plantea hacer una reunión interna </w:t>
      </w:r>
      <w:r>
        <w:rPr>
          <w:b/>
          <w:bCs/>
        </w:rPr>
        <w:t>con Innova para salvar estas dudas y definir los requerimientos del IXP</w:t>
      </w:r>
      <w:r>
        <w:rPr>
          <w:b/>
          <w:bCs/>
        </w:rPr>
        <w:t>.</w:t>
      </w:r>
      <w:r>
        <w:rPr>
          <w:b/>
          <w:bCs/>
        </w:rPr>
        <w:t xml:space="preserve"> </w:t>
      </w:r>
      <w:r>
        <w:rPr>
          <w:b/>
          <w:bCs/>
        </w:rPr>
        <w:t>Ariel y Victor pasarán por mail los datos del vencimiento de los contratos con Claro, las penalidades de Claro es del 20%.</w:t>
      </w:r>
    </w:p>
    <w:p>
      <w:pPr>
        <w:pStyle w:val="Normal"/>
        <w:spacing w:lineRule="auto" w:line="240" w:before="280" w:after="280"/>
        <w:jc w:val="both"/>
        <w:rPr>
          <w:b/>
          <w:b/>
          <w:bCs/>
        </w:rPr>
      </w:pPr>
      <w:r>
        <w:rPr>
          <w:b/>
          <w:bCs/>
        </w:rPr>
        <w:t>Ivan consulta sobre las CDN, Juan Carlos comenta que no hay nada nuevo. Sergio está esperando que se estabilice el servidor por las continuas caídas del servidor.</w:t>
      </w:r>
    </w:p>
    <w:p>
      <w:pPr>
        <w:pStyle w:val="Normal"/>
        <w:spacing w:lineRule="auto" w:line="240" w:before="280" w:after="280"/>
        <w:rPr>
          <w:b/>
          <w:b/>
          <w:bCs/>
        </w:rPr>
      </w:pPr>
      <w:r>
        <w:rPr>
          <w:rFonts w:eastAsia="Times New Roman" w:cs="Times New Roman" w:ascii="Times New Roman" w:hAnsi="Times New Roman"/>
          <w:b/>
          <w:bCs/>
          <w:sz w:val="24"/>
          <w:szCs w:val="24"/>
          <w:lang w:eastAsia="es-AR"/>
        </w:rPr>
        <w:t>5- STATUS DE CONEXIONES DE LOS MIEMBROS DEL IXP</w:t>
      </w:r>
    </w:p>
    <w:p>
      <w:pPr>
        <w:pStyle w:val="Cuerpodetexto"/>
        <w:spacing w:lineRule="auto" w:line="240" w:before="280" w:after="280"/>
        <w:jc w:val="both"/>
        <w:rPr>
          <w:b/>
          <w:b/>
          <w:bCs/>
        </w:rPr>
      </w:pPr>
      <w:r>
        <w:rPr>
          <w:b/>
          <w:bCs/>
        </w:rPr>
        <w:t>Juan Carlos retomará el tema del ISP Red Soft.</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Cuerpodetexto"/>
        <w:spacing w:lineRule="auto" w:line="240" w:before="280" w:after="280"/>
        <w:jc w:val="both"/>
        <w:rPr>
          <w:b/>
          <w:b/>
          <w:bCs/>
        </w:rPr>
      </w:pPr>
      <w:r>
        <w:rPr>
          <w:b/>
          <w:bCs/>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bCs/>
          <w:sz w:val="24"/>
          <w:szCs w:val="24"/>
          <w:lang w:eastAsia="es-AR"/>
        </w:rPr>
        <w:t xml:space="preserve">13 de </w:t>
      </w:r>
      <w:r>
        <w:rPr>
          <w:rFonts w:eastAsia="Times New Roman" w:cs="Times New Roman" w:ascii="Times New Roman" w:hAnsi="Times New Roman"/>
          <w:b/>
          <w:bCs/>
          <w:color w:val="auto"/>
          <w:kern w:val="0"/>
          <w:sz w:val="24"/>
          <w:szCs w:val="24"/>
          <w:lang w:val="es-AR" w:eastAsia="es-AR" w:bidi="ar-SA"/>
        </w:rPr>
        <w:t>abril</w:t>
      </w:r>
      <w:r>
        <w:rPr>
          <w:rFonts w:eastAsia="Times New Roman" w:cs="Times New Roman" w:ascii="Times New Roman" w:hAnsi="Times New Roman"/>
          <w:b/>
          <w:bCs/>
          <w:sz w:val="24"/>
          <w:szCs w:val="24"/>
          <w:lang w:eastAsia="es-AR"/>
        </w:rPr>
        <w:t xml:space="preserve"> de 2022, a las 9:</w:t>
      </w:r>
      <w:r>
        <w:rPr>
          <w:rFonts w:eastAsia="Times New Roman" w:cs="Times New Roman" w:ascii="Times New Roman" w:hAnsi="Times New Roman"/>
          <w:b/>
          <w:bCs/>
          <w:color w:val="auto"/>
          <w:kern w:val="0"/>
          <w:sz w:val="24"/>
          <w:szCs w:val="24"/>
          <w:lang w:val="es-AR" w:eastAsia="es-AR" w:bidi="ar-SA"/>
        </w:rPr>
        <w:t>30</w:t>
      </w:r>
    </w:p>
    <w:p>
      <w:pPr>
        <w:pStyle w:val="Normal"/>
        <w:spacing w:lineRule="auto" w:line="240" w:before="280" w:after="280"/>
        <w:rPr/>
      </w:pPr>
      <w:r>
        <w:rPr>
          <w:rFonts w:eastAsia="Times New Roman" w:cs="Times New Roman" w:ascii="Times New Roman" w:hAnsi="Times New Roman"/>
          <w:sz w:val="24"/>
          <w:szCs w:val="24"/>
          <w:lang w:eastAsia="es-AR"/>
        </w:rPr>
        <w:t>8- TEMAS VARIOS</w:t>
      </w:r>
    </w:p>
    <w:p>
      <w:pPr>
        <w:pStyle w:val="Cuerpodetexto"/>
        <w:spacing w:lineRule="auto" w:line="240" w:before="280" w:after="280"/>
        <w:jc w:val="both"/>
        <w:rPr>
          <w:b/>
          <w:b/>
          <w:bCs/>
        </w:rPr>
      </w:pPr>
      <w:r>
        <w:rPr>
          <w:b/>
          <w:bCs/>
        </w:rPr>
        <w:t>Juan Carlos informa que Juan Aballay de la Subsecretaría de Modernización de la Municipalidad de la Capital hizo contacto con CABASE para ingresar al IXP. La municipalidad no tiene recursos de internet, lo están tramitando. Es poco lo que requieren de tráfico. Le comentó que el Gobierno de la provincia le sugirió conectarse al IXP directamente o hacer un peer</w:t>
      </w:r>
      <w:r>
        <w:rPr>
          <w:b/>
          <w:bCs/>
        </w:rPr>
        <w:t>i</w:t>
      </w:r>
      <w:r>
        <w:rPr>
          <w:b/>
          <w:bCs/>
        </w:rPr>
        <w:t>n</w:t>
      </w:r>
      <w:r>
        <w:rPr>
          <w:b/>
          <w:bCs/>
        </w:rPr>
        <w:t>g</w:t>
      </w:r>
      <w:r>
        <w:rPr>
          <w:b/>
          <w:bCs/>
        </w:rPr>
        <w:t xml:space="preserve"> con el gobierno de san juan porque ya están conectados, se aclaró que todavía no lo está y Juan Aballay confirmará este tema.</w:t>
      </w:r>
    </w:p>
    <w:p>
      <w:pPr>
        <w:pStyle w:val="Cuerpodetexto"/>
        <w:spacing w:lineRule="auto" w:line="240" w:before="280" w:after="280"/>
        <w:jc w:val="both"/>
        <w:rPr>
          <w:b/>
          <w:b/>
          <w:bCs/>
        </w:rPr>
      </w:pPr>
      <w:r>
        <w:rPr>
          <w:rFonts w:eastAsia="Times New Roman" w:cs="Times New Roman" w:ascii="Times New Roman" w:hAnsi="Times New Roman"/>
          <w:b/>
          <w:bCs/>
          <w:sz w:val="24"/>
          <w:szCs w:val="24"/>
          <w:lang w:eastAsia="es-AR"/>
        </w:rPr>
        <w:t xml:space="preserve">Juan Carlos comenta que es posible dar acceso a ISP u otros a través de los miembros conectados siempre y cuando se asocien a CABASE y al IXP hasta que el miembro complete los requerimiento técnicos. </w:t>
      </w:r>
    </w:p>
    <w:p>
      <w:pPr>
        <w:pStyle w:val="Normal"/>
        <w:spacing w:lineRule="auto" w:line="240" w:before="280" w:after="280"/>
        <w:rPr>
          <w:rFonts w:ascii="Times New Roman" w:hAnsi="Times New Roman" w:eastAsia="Times New Roman" w:cs="Times New Roman"/>
          <w:sz w:val="24"/>
          <w:szCs w:val="24"/>
          <w:lang w:eastAsia="es-AR"/>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1251</TotalTime>
  <Application>LibreOffice/6.4.7.2$Linux_X86_64 LibreOffice_project/40$Build-2</Application>
  <Pages>4</Pages>
  <Words>703</Words>
  <Characters>3543</Characters>
  <CharactersWithSpaces>4135</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2022-04-05T11:32:09Z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