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16</w:t>
      </w:r>
      <w:r>
        <w:rPr>
          <w:rFonts w:eastAsia="Times New Roman" w:cs="Times New Roman" w:ascii="Times New Roman" w:hAnsi="Times New Roman"/>
          <w:color w:val="auto"/>
          <w:kern w:val="0"/>
          <w:sz w:val="20"/>
          <w:szCs w:val="20"/>
          <w:lang w:val="es-AR" w:eastAsia="es-AR" w:bidi="ar-SA"/>
        </w:rPr>
        <w:t xml:space="preserve"> de junio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Fabián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Aguilera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03 de junio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13</w:t>
      </w:r>
      <w:r>
        <w:rPr>
          <w:rFonts w:eastAsia="Times New Roman" w:cs="Times New Roman" w:ascii="Times New Roman" w:hAnsi="Times New Roman"/>
          <w:color w:val="auto"/>
          <w:kern w:val="0"/>
          <w:sz w:val="24"/>
          <w:szCs w:val="24"/>
          <w:lang w:val="es-AR" w:eastAsia="es-AR" w:bidi="ar-SA"/>
        </w:rPr>
        <w:t xml:space="preserve"> de junio</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-117.909,77</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kern w:val="0"/>
          <w:sz w:val="24"/>
          <w:szCs w:val="24"/>
          <w:lang w:val="es-AR" w:eastAsia="es-AR" w:bidi="ar-SA"/>
        </w:rPr>
        <w:t>$ -155.501,94</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$ 254.990,85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CORTEZ RAÚL OMAR: $ 56.718,75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XF COMUNICACIONES SA: $ 11.761,20</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PECHIEU GASTON: $ 30.303,24</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VEGA CESAR AUGUSTO: $ 56.718,75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color w:val="auto"/>
        </w:rPr>
        <w:t>A los fines de que el IXP-UAQ no figure en el cierre de balance con un saldo negativo en caja se solicita que los miembros con deuda cancelen la misma y si al cierre sigue la caja con deuda se utilice el fondo de reserva para cancelar la misma.</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Cuerpodetexto"/>
        <w:spacing w:lineRule="auto" w:line="240" w:before="280" w:after="280"/>
        <w:rPr>
          <w:rFonts w:ascii="Times New Roman" w:hAnsi="Times New Roman" w:eastAsia="Times New Roman" w:cs="Times New Roman"/>
          <w:b/>
          <w:b/>
          <w:bCs/>
          <w:color w:val="auto"/>
          <w:kern w:val="0"/>
          <w:sz w:val="24"/>
          <w:szCs w:val="24"/>
          <w:lang w:val="es-AR" w:eastAsia="es-AR" w:bidi="ar-SA"/>
        </w:rPr>
      </w:pPr>
      <w:r>
        <w:rPr>
          <w:rFonts w:eastAsia="Times New Roman" w:cs="Times New Roman" w:ascii="Times New Roman" w:hAnsi="Times New Roman"/>
          <w:b/>
          <w:bCs/>
          <w:color w:val="auto"/>
          <w:kern w:val="0"/>
          <w:sz w:val="24"/>
          <w:szCs w:val="24"/>
          <w:lang w:val="es-AR" w:eastAsia="es-AR" w:bidi="ar-SA"/>
        </w:rPr>
        <w:t>Se aprueba la compra del diferencial para cambiar el existente.</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jc w:val="both"/>
        <w:rPr>
          <w:b/>
          <w:b/>
          <w:bCs/>
        </w:rPr>
      </w:pPr>
      <w:r>
        <w:rPr>
          <w:b/>
          <w:bCs/>
        </w:rPr>
        <w:t>Sergio comenta la reunión informal previa que se tuvo respecto a la necesidad de ampliar la capacidad y se analicen las distintas alternativas de mejoras. Ricardo también comenta lo mismo y hace notar las saturaciones existentes y los ISP que están esperando por capacidad en el IXP.</w:t>
      </w:r>
    </w:p>
    <w:p>
      <w:pPr>
        <w:pStyle w:val="Normal"/>
        <w:spacing w:lineRule="auto" w:line="240" w:before="280" w:after="280"/>
        <w:jc w:val="both"/>
        <w:rPr>
          <w:b/>
          <w:b/>
          <w:bCs/>
        </w:rPr>
      </w:pPr>
      <w:r>
        <w:rPr>
          <w:b/>
          <w:bCs/>
        </w:rPr>
        <w:t>Se comenta que la propuesta de San Juan Innova se encuentra atada a la contratación de TIP por lo que resulta complejo la decisión de toma de servicios con San Juan Innova ya que lo urgente de resolver es la saturación del transporte en el IXP y la liberación de los filtros existentes para evitar un poco dicha situación.</w:t>
      </w:r>
    </w:p>
    <w:p>
      <w:pPr>
        <w:pStyle w:val="Normal"/>
        <w:spacing w:lineRule="auto" w:line="240" w:before="280" w:after="280"/>
        <w:jc w:val="both"/>
        <w:rPr>
          <w:b/>
          <w:b/>
          <w:bCs/>
        </w:rPr>
      </w:pPr>
      <w:r>
        <w:rPr>
          <w:b/>
          <w:bCs/>
        </w:rPr>
        <w:t>Gastón presenta una oferta de convertirse en carrier con un servicio de transporte de Telefónica con una interfaces de 10 y 20 Gbps. El costo sería de U$S 1,20 y U$S 1,- respectivamente. Está esperando una respuesta de parte de Telefónica a 40 Gbps a partir de octubre, esto no tiene definido los costos. La contratación sería a 12 meses. Plazo de implementación de 30 a 60 días. La llegada al IPX sería con la referencia de la UNSJ.</w:t>
      </w:r>
    </w:p>
    <w:p>
      <w:pPr>
        <w:pStyle w:val="Normal"/>
        <w:spacing w:lineRule="auto" w:line="240" w:before="280" w:after="280"/>
        <w:jc w:val="both"/>
        <w:rPr>
          <w:b/>
          <w:b/>
          <w:bCs/>
        </w:rPr>
      </w:pPr>
      <w:r>
        <w:rPr>
          <w:b/>
          <w:bCs/>
        </w:rPr>
        <w:t xml:space="preserve">Sergio </w:t>
      </w:r>
      <w:r>
        <w:rPr>
          <w:rFonts w:eastAsia="Calibri" w:cs="DejaVu Sans"/>
          <w:b/>
          <w:bCs/>
          <w:color w:val="auto"/>
          <w:kern w:val="0"/>
          <w:sz w:val="22"/>
          <w:szCs w:val="22"/>
          <w:lang w:val="es-AR" w:eastAsia="en-US" w:bidi="ar-SA"/>
        </w:rPr>
        <w:t xml:space="preserve">presenta la situación con LUMEN que anda mal y le comentaron que para octubre estaría mas estable la conexión, este servicio piensa en cambiarlo a un servicio de 10 Gbps de telefónica similar al que le ofrecieron a Gastón. La propuesta con Innova no la ve tan segura y no contrataría servicios con Innova. Por lo tanto cambiaría de proveedor para Netropolys y los que quieran. Sergio informa que ya firmó con Telefónica un servicio de transporte por 10 Gbps que es la capacidad disponible hasta fines de octubre principio de noviembre </w:t>
      </w:r>
      <w:r>
        <w:rPr>
          <w:rFonts w:eastAsia="Calibri" w:cs="DejaVu Sans"/>
          <w:b/>
          <w:bCs/>
          <w:color w:val="auto"/>
          <w:kern w:val="0"/>
          <w:sz w:val="22"/>
          <w:szCs w:val="22"/>
          <w:lang w:val="es-AR" w:eastAsia="en-US" w:bidi="ar-SA"/>
        </w:rPr>
        <w:t>para reemplazar el servicio de LUMEN. Se presenta la alternativa de mantener LUMEN hasta la finalización del contrato y aumentar 10 Gbps contratado por telefónica para salir de la saturación.</w:t>
      </w:r>
    </w:p>
    <w:p>
      <w:pPr>
        <w:pStyle w:val="Normal"/>
        <w:spacing w:lineRule="auto" w:line="240" w:before="280" w:after="280"/>
        <w:jc w:val="both"/>
        <w:rPr>
          <w:b/>
          <w:b/>
          <w:bCs/>
        </w:rPr>
      </w:pPr>
      <w:r>
        <w:rPr>
          <w:rFonts w:eastAsia="Calibri" w:cs="DejaVu Sans"/>
          <w:b/>
          <w:bCs/>
          <w:color w:val="auto"/>
          <w:kern w:val="0"/>
          <w:sz w:val="22"/>
          <w:szCs w:val="22"/>
          <w:lang w:val="es-AR" w:eastAsia="en-US" w:bidi="ar-SA"/>
        </w:rPr>
        <w:t>C</w:t>
      </w:r>
      <w:r>
        <w:rPr>
          <w:rFonts w:eastAsia="Calibri" w:cs="DejaVu Sans"/>
          <w:b/>
          <w:bCs/>
          <w:color w:val="auto"/>
          <w:kern w:val="0"/>
          <w:sz w:val="22"/>
          <w:szCs w:val="22"/>
          <w:lang w:val="es-AR" w:eastAsia="en-US" w:bidi="ar-SA"/>
        </w:rPr>
        <w:t xml:space="preserve">on esta solución Netropolys tendrá una capacidad de transporte de 20 Gbps que deben ser distribuidos entre los ISP del IXP. Los 20 Gbps será </w:t>
      </w:r>
      <w:r>
        <w:rPr>
          <w:rFonts w:eastAsia="Calibri" w:cs="DejaVu Sans"/>
          <w:b/>
          <w:bCs/>
          <w:color w:val="auto"/>
          <w:kern w:val="0"/>
          <w:sz w:val="22"/>
          <w:szCs w:val="22"/>
          <w:lang w:val="es-AR" w:eastAsia="en-US" w:bidi="ar-SA"/>
        </w:rPr>
        <w:t>por</w:t>
      </w:r>
      <w:r>
        <w:rPr>
          <w:rFonts w:eastAsia="Calibri" w:cs="DejaVu Sans"/>
          <w:b/>
          <w:bCs/>
          <w:color w:val="auto"/>
          <w:kern w:val="0"/>
          <w:sz w:val="22"/>
          <w:szCs w:val="22"/>
          <w:lang w:val="es-AR" w:eastAsia="en-US" w:bidi="ar-SA"/>
        </w:rPr>
        <w:t xml:space="preserve"> Telefónica o 10 Gbps por Telefónica y los 10 Gbps por LUMEN si no puede dar de baja a LUMEN, teniendo en cuenta el mal servicio que presta esta empresa (no mas emoji </w:t>
      </w:r>
      <w:r>
        <w:rPr>
          <w:rFonts w:eastAsia="Calibri" w:cs="DejaVu Sans"/>
          <w:b/>
          <w:bCs/>
          <w:color w:val="auto"/>
          <w:kern w:val="0"/>
          <w:sz w:val="22"/>
          <w:szCs w:val="22"/>
          <w:lang w:val="es-AR" w:eastAsia="en-US" w:bidi="ar-SA"/>
        </w:rPr>
        <w:t>en el whatsapp</w:t>
      </w:r>
      <w:r>
        <w:rPr>
          <w:rFonts w:eastAsia="Calibri" w:cs="DejaVu Sans"/>
          <w:b/>
          <w:bCs/>
          <w:color w:val="auto"/>
          <w:kern w:val="0"/>
          <w:sz w:val="22"/>
          <w:szCs w:val="22"/>
          <w:lang w:val="es-AR" w:eastAsia="en-US" w:bidi="ar-SA"/>
        </w:rPr>
        <w:t>).</w:t>
      </w:r>
    </w:p>
    <w:p>
      <w:pPr>
        <w:pStyle w:val="Normal"/>
        <w:spacing w:lineRule="auto" w:line="240" w:before="280" w:after="280"/>
        <w:jc w:val="both"/>
        <w:rPr>
          <w:b/>
          <w:b/>
          <w:bCs/>
        </w:rPr>
      </w:pPr>
      <w:r>
        <w:rPr>
          <w:rFonts w:eastAsia="Calibri" w:cs="DejaVu Sans"/>
          <w:b/>
          <w:bCs/>
          <w:color w:val="auto"/>
          <w:kern w:val="0"/>
          <w:sz w:val="22"/>
          <w:szCs w:val="22"/>
          <w:lang w:val="es-AR" w:eastAsia="en-US" w:bidi="ar-SA"/>
        </w:rPr>
        <w:t>Se dispondrá una planilla compartida para completar el esquema de  distribución de las capacidades disponibles.</w:t>
      </w:r>
    </w:p>
    <w:p>
      <w:pPr>
        <w:pStyle w:val="Normal"/>
        <w:spacing w:lineRule="auto" w:line="240" w:before="280" w:after="280"/>
        <w:jc w:val="both"/>
        <w:rPr>
          <w:b/>
          <w:b/>
          <w:bCs/>
        </w:rPr>
      </w:pPr>
      <w:r>
        <w:rPr>
          <w:b/>
          <w:bCs/>
        </w:rPr>
        <w:t xml:space="preserve">Carlos Gonzales de CLARO comenta que terminante se avanzó en una solución de tal </w:t>
      </w:r>
      <w:r>
        <w:rPr>
          <w:rFonts w:eastAsia="Calibri" w:cs="DejaVu Sans"/>
          <w:b/>
          <w:bCs/>
          <w:color w:val="auto"/>
          <w:kern w:val="0"/>
          <w:sz w:val="22"/>
          <w:szCs w:val="22"/>
          <w:lang w:val="es-AR" w:eastAsia="en-US" w:bidi="ar-SA"/>
        </w:rPr>
        <w:t>manera</w:t>
      </w:r>
      <w:r>
        <w:rPr>
          <w:b/>
          <w:bCs/>
        </w:rPr>
        <w:t xml:space="preserve"> que en unos meses no quede chica. Se ha demorado la solución porque se necesitaban definiciones financieras y técnicas, esto se presentó y se aprobó para avanzar con el proyecto. No se tienen tiempos de implementación. Ariel comenta lo mismo, se apunta a que los cambios están antes de fin de año. Se hará una propuesta lo antes posible.</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Cuerpodetexto"/>
        <w:spacing w:lineRule="auto" w:line="240" w:before="280" w:after="280"/>
        <w:jc w:val="both"/>
        <w:rPr>
          <w:b/>
          <w:b/>
          <w:bCs/>
        </w:rPr>
      </w:pPr>
      <w:r>
        <w:rPr>
          <w:b/>
          <w:bCs/>
        </w:rPr>
        <w:t>Juan Carlos comenta que San Juan Innova presentó la solicitud de socio de CABASE el cual fue aprobado. Rodolfo Arroqui tiene el formulario de ingreso al IXP, el cual está completando y tratará de enviarlo en la mañana de hoy.</w:t>
      </w:r>
    </w:p>
    <w:p>
      <w:pPr>
        <w:pStyle w:val="Cuerpodetexto"/>
        <w:spacing w:lineRule="auto" w:line="240" w:before="280" w:after="280"/>
        <w:jc w:val="both"/>
        <w:rPr>
          <w:b/>
          <w:b/>
          <w:bCs/>
        </w:rPr>
      </w:pPr>
      <w:r>
        <w:rPr>
          <w:b/>
          <w:bCs/>
        </w:rPr>
        <w:t xml:space="preserve">Por parte de la mesa se deja aprobado el ingreso de San Juan Innova </w:t>
      </w:r>
      <w:r>
        <w:rPr>
          <w:b/>
          <w:bCs/>
        </w:rPr>
        <w:t xml:space="preserve">a IXP-UAQ </w:t>
      </w:r>
      <w:r>
        <w:rPr>
          <w:b/>
          <w:bCs/>
        </w:rPr>
        <w:t xml:space="preserve">y se queda a la espera de la formalidad del envío del formulario. </w:t>
      </w:r>
      <w:r>
        <w:rPr>
          <w:b/>
          <w:bCs/>
        </w:rPr>
        <w:t>Por lo que tendrá que hacer los pagos de Fondo de Reserva y el Aporte Inicial.</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14 de julio de 2022, a las 9:</w:t>
      </w:r>
      <w:r>
        <w:rPr>
          <w:rFonts w:eastAsia="Times New Roman" w:cs="Times New Roman" w:ascii="Times New Roman" w:hAnsi="Times New Roman"/>
          <w:b/>
          <w:bCs/>
          <w:color w:val="auto"/>
          <w:kern w:val="0"/>
          <w:sz w:val="24"/>
          <w:szCs w:val="24"/>
          <w:lang w:val="es-AR" w:eastAsia="es-AR" w:bidi="ar-SA"/>
        </w:rPr>
        <w:t>30</w:t>
      </w:r>
    </w:p>
    <w:p>
      <w:pPr>
        <w:pStyle w:val="Normal"/>
        <w:spacing w:lineRule="auto" w:line="240" w:before="280" w:after="280"/>
        <w:rPr/>
      </w:pPr>
      <w:r>
        <w:rPr>
          <w:rFonts w:eastAsia="Times New Roman" w:cs="Times New Roman" w:ascii="Times New Roman" w:hAnsi="Times New Roman"/>
          <w:sz w:val="24"/>
          <w:szCs w:val="24"/>
          <w:lang w:eastAsia="es-AR"/>
        </w:rPr>
        <w:t>8 - TEMAS VARIOS</w:t>
      </w:r>
    </w:p>
    <w:p>
      <w:pPr>
        <w:pStyle w:val="Normal"/>
        <w:spacing w:lineRule="auto" w:line="240" w:before="280" w:after="280"/>
        <w:rPr>
          <w:rFonts w:ascii="Times New Roman" w:hAnsi="Times New Roman" w:eastAsia="Times New Roman" w:cs="Times New Roman"/>
          <w:sz w:val="24"/>
          <w:szCs w:val="24"/>
          <w:lang w:eastAsia="es-AR"/>
        </w:rPr>
      </w:pPr>
      <w:r>
        <w:rPr/>
        <w:t xml:space="preserve">Juan Carlos informa sobre la planilla de inventario para información del cierre de ejercicio. Esto será a través de una planilla con los datos existentes que el coordinador técnico tendrá que verificar y actualizar. </w:t>
      </w:r>
    </w:p>
    <w:p>
      <w:pPr>
        <w:pStyle w:val="Normal"/>
        <w:spacing w:lineRule="auto" w:line="240" w:before="280" w:after="280"/>
        <w:rPr>
          <w:rFonts w:ascii="Times New Roman" w:hAnsi="Times New Roman" w:eastAsia="Times New Roman" w:cs="Times New Roman"/>
          <w:sz w:val="24"/>
          <w:szCs w:val="24"/>
          <w:lang w:eastAsia="es-AR"/>
        </w:rPr>
      </w:pPr>
      <w:r>
        <w:rPr/>
        <w:t xml:space="preserve">También informa que la empresa de logística de Google se pondrá en contacto para el envío del router necesario para la instalación del nuevo caché </w:t>
      </w:r>
    </w:p>
    <w:p>
      <w:pPr>
        <w:pStyle w:val="Normal"/>
        <w:spacing w:lineRule="auto" w:line="240" w:before="280" w:after="280"/>
        <w:rPr>
          <w:rFonts w:ascii="Times New Roman" w:hAnsi="Times New Roman" w:eastAsia="Times New Roman" w:cs="Times New Roman"/>
          <w:sz w:val="24"/>
          <w:szCs w:val="24"/>
          <w:lang w:eastAsia="es-AR"/>
        </w:rPr>
      </w:pPr>
      <w:r>
        <w:rPr/>
        <w:t xml:space="preserve">Juna Carlos comenta que en abril </w:t>
      </w:r>
      <w:r>
        <w:rPr>
          <w:rFonts w:eastAsia="Calibri" w:cs="DejaVu Sans"/>
          <w:color w:val="auto"/>
          <w:kern w:val="0"/>
          <w:sz w:val="22"/>
          <w:szCs w:val="22"/>
          <w:lang w:val="es-AR" w:eastAsia="en-US" w:bidi="ar-SA"/>
        </w:rPr>
        <w:t xml:space="preserve">realizó el </w:t>
      </w:r>
      <w:r>
        <w:rPr/>
        <w:t>LACNIC 37. Facebook presento que están cambiando la filosofía de no entrega de los caché a los IXPs, si lo hacía a los ISP con gran volumen. Están terminando de hacer un cambio de la configuración del caché en Saenz Peña. San Juan está en el 5 lugar del rancking de tráfico por lo que el IXP-UAQ será uno de los primeros en recibir el caché de Facebook.</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1324</TotalTime>
  <Application>LibreOffice/6.4.7.2$Linux_X86_64 LibreOffice_project/40$Build-2</Application>
  <Pages>5</Pages>
  <Words>1055</Words>
  <Characters>5022</Characters>
  <CharactersWithSpaces>5954</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2022-06-28T12:34:00Z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