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11</w:t>
      </w:r>
      <w:r>
        <w:rPr>
          <w:rFonts w:eastAsia="Times New Roman" w:cs="Times New Roman" w:ascii="Times New Roman" w:hAnsi="Times New Roman"/>
          <w:color w:val="auto"/>
          <w:kern w:val="0"/>
          <w:sz w:val="20"/>
          <w:szCs w:val="20"/>
          <w:lang w:val="es-AR" w:eastAsia="es-AR" w:bidi="ar-SA"/>
        </w:rPr>
        <w:t xml:space="preserve"> de agosto </w:t>
      </w:r>
      <w:r>
        <w:rPr>
          <w:rFonts w:eastAsia="Times New Roman" w:cs="Times New Roman" w:ascii="Times New Roman" w:hAnsi="Times New Roman"/>
          <w:sz w:val="20"/>
          <w:szCs w:val="20"/>
          <w:lang w:eastAsia="es-AR"/>
        </w:rPr>
        <w:t>de 2022</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kern w:val="0"/>
                <w:sz w:val="24"/>
                <w:szCs w:val="24"/>
                <w:lang w:val="es-AR" w:eastAsia="es-ES" w:bidi="ar-SA"/>
              </w:rPr>
            </w:pPr>
            <w:r>
              <w:rPr>
                <w:rFonts w:eastAsia="Times New Roman" w:cs="Times New Roman" w:ascii="Times New Roman" w:hAnsi="Times New Roman"/>
                <w:color w:val="000000"/>
                <w:kern w:val="0"/>
                <w:sz w:val="24"/>
                <w:szCs w:val="24"/>
                <w:lang w:val="es-AR" w:eastAsia="es-ES" w:bidi="ar-SA"/>
              </w:rPr>
              <w:t>Presentes</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Ernesto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Golom</w:t>
            </w:r>
            <w:r>
              <w:rPr>
                <w:rFonts w:eastAsia="Times New Roman" w:cs="Times New Roman" w:ascii="Times New Roman" w:hAnsi="Times New Roman"/>
                <w:sz w:val="24"/>
                <w:szCs w:val="24"/>
                <w:lang w:eastAsia="es-AR"/>
              </w:rPr>
              <w:t>b</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CABASE</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Andrés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Pugawko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Hernan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Ariel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Passarelli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Carlos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González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Romero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Calibri" w:cs="DejaVu Sans"/>
                <w:color w:val="auto"/>
                <w:kern w:val="0"/>
                <w:sz w:val="22"/>
                <w:szCs w:val="22"/>
                <w:lang w:val="es-AR" w:eastAsia="en-US" w:bidi="ar-SA"/>
              </w:rPr>
              <w:t>Carlos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GSP</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Gastón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Pechieu</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NetLink</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Facundo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Carrizo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Roberto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Agüero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Alejandro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Cuadra</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Técnico NAP 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Nicolas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Vallejo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Fabián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Aguilera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Hugo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Leiria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Martinez</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Sebastián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Sánchez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 xml:space="preserve">Julio </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 xml:space="preserve">Nostray </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AustralNet</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bl>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rPr/>
      </w:pP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21 de julio de 2022</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Caja, se cuenta con el siguiente detalle al 10</w:t>
      </w:r>
      <w:r>
        <w:rPr>
          <w:rFonts w:eastAsia="Times New Roman" w:cs="Times New Roman" w:ascii="Times New Roman" w:hAnsi="Times New Roman"/>
          <w:color w:val="auto"/>
          <w:kern w:val="0"/>
          <w:sz w:val="24"/>
          <w:szCs w:val="24"/>
          <w:lang w:val="es-AR" w:eastAsia="es-AR" w:bidi="ar-SA"/>
        </w:rPr>
        <w:t xml:space="preserve"> de agosto</w:t>
      </w:r>
      <w:r>
        <w:rPr>
          <w:rFonts w:eastAsia="Times New Roman" w:cs="Times New Roman" w:ascii="Times New Roman" w:hAnsi="Times New Roman"/>
          <w:sz w:val="24"/>
          <w:szCs w:val="24"/>
          <w:lang w:eastAsia="es-AR"/>
        </w:rPr>
        <w:t xml:space="preserve"> de 2022</w:t>
      </w:r>
    </w:p>
    <w:p>
      <w:pPr>
        <w:pStyle w:val="Cuerpodetexto"/>
        <w:spacing w:lineRule="auto" w:line="240" w:before="280" w:after="280"/>
        <w:ind w:left="0" w:right="0" w:hanging="0"/>
        <w:contextualSpacing/>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Sin datos a la fecha de la reunión</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w:t>
      </w:r>
      <w:r>
        <w:rPr>
          <w:rFonts w:eastAsia="Times New Roman" w:cs="Times New Roman" w:ascii="Times New Roman" w:hAnsi="Times New Roman"/>
          <w:color w:val="auto"/>
          <w:kern w:val="0"/>
          <w:sz w:val="24"/>
          <w:szCs w:val="24"/>
          <w:lang w:val="es-AR" w:eastAsia="es-AR" w:bidi="ar-SA"/>
        </w:rPr>
        <w:t xml:space="preserve"> </w:t>
      </w:r>
      <w:r>
        <w:rPr>
          <w:rFonts w:eastAsia="Times New Roman" w:cs="Times New Roman" w:ascii="Times New Roman" w:hAnsi="Times New Roman"/>
          <w:color w:val="C9211E"/>
          <w:kern w:val="0"/>
          <w:sz w:val="24"/>
          <w:szCs w:val="24"/>
          <w:lang w:val="es-AR" w:eastAsia="es-AR" w:bidi="ar-SA"/>
        </w:rPr>
        <w:t>$-53.386,41</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$ 105.625,00,-    En dólares: U$S 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r>
        <w:rPr>
          <w:rFonts w:eastAsia="Times New Roman" w:cs="Times New Roman" w:ascii="Times New Roman" w:hAnsi="Times New Roman"/>
          <w:color w:val="C9211E"/>
          <w:kern w:val="0"/>
          <w:sz w:val="24"/>
          <w:szCs w:val="24"/>
          <w:lang w:val="es-AR" w:eastAsia="es-AR" w:bidi="ar-SA"/>
        </w:rPr>
        <w:t xml:space="preserve">$74.173,- </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$ 270.737,41</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CORTEZ RAÚL OMAR:     $23.086,80</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GPS SAN JUAN S.R.L. :        $6.168,58</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VEGA CESAR AUGUSTO: $23.086,80</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PECHIEU GASTON:            $21.830,82</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Raúl Cortez informó que ya pagó.</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rPr>
          <w:b w:val="false"/>
          <w:b w:val="false"/>
          <w:bCs w:val="false"/>
        </w:rPr>
      </w:pPr>
      <w:r>
        <w:rPr>
          <w:rFonts w:eastAsia="Times New Roman" w:cs="Times New Roman" w:ascii="Times New Roman" w:hAnsi="Times New Roman"/>
          <w:b w:val="false"/>
          <w:bCs w:val="false"/>
          <w:sz w:val="24"/>
          <w:szCs w:val="24"/>
          <w:lang w:eastAsia="es-AR"/>
        </w:rPr>
        <w:t>Alejando informa que los cache viejos de Google todavía están entregando contenido y todavía no puede sacarlos de servicio. En el momento del cambio sería posible alguna interrupción en el servicio.</w:t>
      </w:r>
    </w:p>
    <w:p>
      <w:pPr>
        <w:pStyle w:val="Normal"/>
        <w:spacing w:lineRule="auto" w:line="240" w:before="280" w:after="280"/>
        <w:rPr>
          <w:b w:val="false"/>
          <w:b w:val="false"/>
          <w:bCs w:val="false"/>
        </w:rPr>
      </w:pPr>
      <w:r>
        <w:rPr>
          <w:rFonts w:eastAsia="Times New Roman" w:cs="Times New Roman" w:ascii="Times New Roman" w:hAnsi="Times New Roman"/>
          <w:b w:val="false"/>
          <w:bCs w:val="false"/>
          <w:sz w:val="24"/>
          <w:szCs w:val="24"/>
          <w:lang w:eastAsia="es-AR"/>
        </w:rPr>
        <w:t xml:space="preserve">Sergio Aprea comenta el estado de Netropolys como carrir virtual. </w:t>
      </w:r>
      <w:r>
        <w:rPr>
          <w:rFonts w:eastAsia="Times New Roman" w:cs="Times New Roman" w:ascii="Times New Roman" w:hAnsi="Times New Roman"/>
          <w:b w:val="false"/>
          <w:bCs w:val="false"/>
          <w:sz w:val="24"/>
          <w:szCs w:val="24"/>
          <w:lang w:eastAsia="es-AR"/>
        </w:rPr>
        <w:t>Está apurando el trámite con telefónica para poder reeemplazar Lumen. Del lado de San Juan ya está hecha la acometida y listo para conectar, del lado de BsAs hay dos cámaras inundadas que telefónica tiene que intervenir y han pedido el permiso municipal que puede tardar un mes y medio. Todavía no pueden dar fecha. Del lado de Suipacha ya tiene los equipos de backup para mantener un tiempo los dos servicios y con SyT ya está arreglado la cruzada pero hasta que no esté lo de Telefónica no le pueden dar la posición. Ante la consulta de Juan Carlos, Sergio comenta que mantedrá los dos servicios (Lumen y Telefónica) hasta que se pruebe el vínculo de Telefónica, calcula que una o dos semanas. Juan Carlos informará esto a ingeniería de CABASE.</w:t>
      </w:r>
      <w:r>
        <w:rPr>
          <w:rFonts w:eastAsia="Times New Roman" w:cs="Times New Roman" w:ascii="Times New Roman" w:hAnsi="Times New Roman"/>
          <w:b w:val="false"/>
          <w:bCs w:val="false"/>
          <w:sz w:val="24"/>
          <w:szCs w:val="24"/>
          <w:lang w:eastAsia="es-AR"/>
        </w:rPr>
        <w:t xml:space="preserve"> Sergio aclara que quedarán 30 Gbps disponible distribuidos de la siguiente forma:</w:t>
      </w:r>
    </w:p>
    <w:p>
      <w:pPr>
        <w:pStyle w:val="Normal"/>
        <w:spacing w:lineRule="auto" w:line="240" w:before="0" w:after="0"/>
        <w:rPr>
          <w:b w:val="false"/>
          <w:b w:val="false"/>
          <w:bCs w:val="false"/>
        </w:rPr>
      </w:pPr>
      <w:r>
        <w:rPr>
          <w:rFonts w:eastAsia="Times New Roman" w:cs="Times New Roman" w:ascii="Times New Roman" w:hAnsi="Times New Roman"/>
          <w:b w:val="false"/>
          <w:bCs w:val="false"/>
          <w:sz w:val="24"/>
          <w:szCs w:val="24"/>
          <w:lang w:eastAsia="es-AR"/>
        </w:rPr>
        <w:t>10 Gbps de Claro con el contratos actuales.</w:t>
      </w:r>
    </w:p>
    <w:p>
      <w:pPr>
        <w:pStyle w:val="Normal"/>
        <w:spacing w:lineRule="auto" w:line="240" w:before="0" w:after="0"/>
        <w:rPr>
          <w:b w:val="false"/>
          <w:b w:val="false"/>
          <w:bCs w:val="false"/>
        </w:rPr>
      </w:pPr>
      <w:r>
        <w:rPr>
          <w:rFonts w:eastAsia="Times New Roman" w:cs="Times New Roman" w:ascii="Times New Roman" w:hAnsi="Times New Roman"/>
          <w:b w:val="false"/>
          <w:bCs w:val="false"/>
          <w:sz w:val="24"/>
          <w:szCs w:val="24"/>
          <w:lang w:eastAsia="es-AR"/>
        </w:rPr>
        <w:t xml:space="preserve">10 Gbps de Netrópolys distribuidos entre los integrantes de la mesa y </w:t>
      </w:r>
    </w:p>
    <w:p>
      <w:pPr>
        <w:pStyle w:val="Normal"/>
        <w:spacing w:lineRule="auto" w:line="240" w:before="0" w:after="0"/>
        <w:rPr>
          <w:b w:val="false"/>
          <w:b w:val="false"/>
          <w:bCs w:val="false"/>
        </w:rPr>
      </w:pPr>
      <w:r>
        <w:rPr>
          <w:rFonts w:eastAsia="Times New Roman" w:cs="Times New Roman" w:ascii="Times New Roman" w:hAnsi="Times New Roman"/>
          <w:b w:val="false"/>
          <w:bCs w:val="false"/>
          <w:sz w:val="24"/>
          <w:szCs w:val="24"/>
          <w:lang w:eastAsia="es-AR"/>
        </w:rPr>
        <w:t>10 Gbps de uso de Netrópolys para el transporte propio.</w:t>
      </w:r>
    </w:p>
    <w:p>
      <w:pPr>
        <w:pStyle w:val="Normal"/>
        <w:spacing w:lineRule="auto" w:line="240" w:before="280" w:after="280"/>
        <w:rPr>
          <w:b w:val="false"/>
          <w:b w:val="false"/>
          <w:bCs w:val="false"/>
        </w:rPr>
      </w:pPr>
      <w:r>
        <w:rPr>
          <w:rFonts w:eastAsia="Times New Roman" w:cs="Times New Roman" w:ascii="Times New Roman" w:hAnsi="Times New Roman"/>
          <w:b w:val="false"/>
          <w:bCs w:val="false"/>
          <w:sz w:val="24"/>
          <w:szCs w:val="24"/>
          <w:lang w:eastAsia="es-AR"/>
        </w:rPr>
        <w:t>Esto para que sea informado a ingeniería de CABASE para la configuración de los enlaces.</w:t>
      </w:r>
    </w:p>
    <w:p>
      <w:pPr>
        <w:pStyle w:val="Normal"/>
        <w:spacing w:lineRule="auto" w:line="240" w:before="280" w:after="280"/>
        <w:rPr/>
      </w:pPr>
      <w:r>
        <w:rPr>
          <w:rFonts w:eastAsia="Times New Roman" w:cs="Times New Roman" w:ascii="Times New Roman" w:hAnsi="Times New Roman"/>
          <w:b w:val="false"/>
          <w:bCs w:val="false"/>
          <w:sz w:val="24"/>
          <w:szCs w:val="24"/>
          <w:lang w:eastAsia="es-AR"/>
        </w:rPr>
        <w:t xml:space="preserve">Facundo comenta que San Juan Innova no tiene </w:t>
      </w:r>
      <w:r>
        <w:rPr>
          <w:rFonts w:eastAsia="Times New Roman" w:cs="Times New Roman" w:ascii="Times New Roman" w:hAnsi="Times New Roman"/>
          <w:b w:val="false"/>
          <w:bCs w:val="false"/>
          <w:color w:val="auto"/>
          <w:kern w:val="0"/>
          <w:sz w:val="24"/>
          <w:szCs w:val="24"/>
          <w:lang w:val="es-AR" w:eastAsia="es-AR" w:bidi="ar-SA"/>
        </w:rPr>
        <w:t>ninguna fecha y están viendo las obras civiles para ingresar el Centro Cívico y a la universidad para el segundo camino. Se debe solicitar un cronograma actualizado y Facundo se compromete a solicitar estos datos.</w:t>
      </w:r>
    </w:p>
    <w:p>
      <w:pPr>
        <w:pStyle w:val="Normal"/>
        <w:spacing w:lineRule="auto" w:line="240" w:before="280" w:after="280"/>
        <w:rPr/>
      </w:pPr>
      <w:r>
        <w:rPr>
          <w:rFonts w:eastAsia="Times New Roman" w:cs="Times New Roman" w:ascii="Times New Roman" w:hAnsi="Times New Roman"/>
          <w:b w:val="false"/>
          <w:bCs w:val="false"/>
          <w:color w:val="auto"/>
          <w:kern w:val="0"/>
          <w:sz w:val="24"/>
          <w:szCs w:val="24"/>
          <w:lang w:val="es-AR" w:eastAsia="es-AR" w:bidi="ar-SA"/>
        </w:rPr>
        <w:t xml:space="preserve">Miguel comenta que del lado de BsAs tendrán el mismo inconveniente que Netrópolys </w:t>
      </w:r>
      <w:r>
        <w:rPr>
          <w:rFonts w:eastAsia="Times New Roman" w:cs="Times New Roman" w:ascii="Times New Roman" w:hAnsi="Times New Roman"/>
          <w:b w:val="false"/>
          <w:bCs w:val="false"/>
          <w:color w:val="auto"/>
          <w:kern w:val="0"/>
          <w:sz w:val="24"/>
          <w:szCs w:val="24"/>
          <w:lang w:val="es-AR" w:eastAsia="es-AR" w:bidi="ar-SA"/>
        </w:rPr>
        <w:t>e intervenir los mismo lugares</w:t>
      </w:r>
      <w:r>
        <w:rPr>
          <w:rFonts w:eastAsia="Times New Roman" w:cs="Times New Roman" w:ascii="Times New Roman" w:hAnsi="Times New Roman"/>
          <w:b w:val="false"/>
          <w:bCs w:val="false"/>
          <w:color w:val="auto"/>
          <w:kern w:val="0"/>
          <w:sz w:val="24"/>
          <w:szCs w:val="24"/>
          <w:lang w:val="es-AR" w:eastAsia="es-AR" w:bidi="ar-SA"/>
        </w:rPr>
        <w:t xml:space="preserve"> y deberían realizar la acometida para los dos servicios.</w:t>
      </w:r>
    </w:p>
    <w:p>
      <w:pPr>
        <w:pStyle w:val="Normal"/>
        <w:spacing w:lineRule="auto" w:line="240" w:before="280" w:after="280"/>
        <w:rPr/>
      </w:pPr>
      <w:r>
        <w:rPr>
          <w:rFonts w:eastAsia="Times New Roman" w:cs="Times New Roman" w:ascii="Times New Roman" w:hAnsi="Times New Roman"/>
          <w:b w:val="false"/>
          <w:bCs w:val="false"/>
          <w:color w:val="auto"/>
          <w:kern w:val="0"/>
          <w:sz w:val="24"/>
          <w:szCs w:val="24"/>
          <w:lang w:val="es-AR" w:eastAsia="es-AR" w:bidi="ar-SA"/>
        </w:rPr>
        <w:t>Facundo comenta el mail que envió a la lista para la utilización del servicio de CLARO en el futuro. Se trata de utilizar el servicio el 95% de acuerdo a los consumos de los miembros.</w:t>
      </w:r>
    </w:p>
    <w:p>
      <w:pPr>
        <w:pStyle w:val="Normal"/>
        <w:spacing w:lineRule="auto" w:line="240" w:before="280" w:after="280"/>
        <w:rPr/>
      </w:pPr>
      <w:r>
        <w:rPr>
          <w:rFonts w:eastAsia="Times New Roman" w:cs="Times New Roman" w:ascii="Times New Roman" w:hAnsi="Times New Roman"/>
          <w:b w:val="false"/>
          <w:bCs w:val="false"/>
          <w:color w:val="auto"/>
          <w:kern w:val="0"/>
          <w:sz w:val="24"/>
          <w:szCs w:val="24"/>
          <w:lang w:val="es-AR" w:eastAsia="es-AR" w:bidi="ar-SA"/>
        </w:rPr>
        <w:t xml:space="preserve">Ariel comenta que no han avanzado con una propuesta al respecto. Volver al 95% será complicado. Se debería hacer con ancho de banda fijo para fijar un precio. También se está pensando facturar al 95% pero solo a una orden para no estar modificando individualmente. Será difícil disponer 10 Gbps sin facturar. Con el 95% no se puede dejar 10 Gbps disponible si se va a facturar 2 Gbps. </w:t>
      </w:r>
      <w:r>
        <w:rPr>
          <w:rFonts w:eastAsia="Times New Roman" w:cs="Times New Roman" w:ascii="Times New Roman" w:hAnsi="Times New Roman"/>
          <w:b w:val="false"/>
          <w:bCs w:val="false"/>
          <w:color w:val="auto"/>
          <w:kern w:val="0"/>
          <w:sz w:val="24"/>
          <w:szCs w:val="24"/>
          <w:lang w:val="es-AR" w:eastAsia="es-AR" w:bidi="ar-SA"/>
        </w:rPr>
        <w:t>Queda con la tarea de definir los precios para las escalas fijas y ver el tema del 95% para ver que se puede hacer.</w:t>
      </w:r>
    </w:p>
    <w:p>
      <w:pPr>
        <w:pStyle w:val="Normal"/>
        <w:spacing w:lineRule="auto" w:line="240" w:before="280" w:after="280"/>
        <w:rPr>
          <w:b/>
          <w:b/>
          <w:bCs/>
        </w:rPr>
      </w:pPr>
      <w:r>
        <w:rPr>
          <w:rFonts w:eastAsia="Times New Roman" w:cs="Times New Roman" w:ascii="Times New Roman" w:hAnsi="Times New Roman"/>
          <w:b/>
          <w:bCs/>
          <w:sz w:val="24"/>
          <w:szCs w:val="24"/>
          <w:lang w:eastAsia="es-AR"/>
        </w:rPr>
        <w:t>5- STATUS DE CONEXIONES DE LOS MIEMBROS DEL IXP</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Juan Carlos informa que San Juan Innova ya presentó el formulario de membresía y como ya está aprobado previamente por la mesa se debe proceder al proyecto técnico, cuestión que ya fue informado a Rodolfo Arroqui.</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bCs/>
          <w:sz w:val="24"/>
          <w:szCs w:val="24"/>
          <w:lang w:eastAsia="es-AR"/>
        </w:rPr>
        <w:t>15 de septiembre de 2022, a las 9:</w:t>
      </w:r>
      <w:r>
        <w:rPr>
          <w:rFonts w:eastAsia="Times New Roman" w:cs="Times New Roman" w:ascii="Times New Roman" w:hAnsi="Times New Roman"/>
          <w:b/>
          <w:bCs/>
          <w:color w:val="auto"/>
          <w:kern w:val="0"/>
          <w:sz w:val="24"/>
          <w:szCs w:val="24"/>
          <w:lang w:val="es-AR" w:eastAsia="es-AR" w:bidi="ar-SA"/>
        </w:rPr>
        <w:t xml:space="preserve">30 </w:t>
      </w:r>
      <w:r>
        <w:rPr>
          <w:rFonts w:eastAsia="Times New Roman" w:cs="Times New Roman" w:ascii="Times New Roman" w:hAnsi="Times New Roman"/>
          <w:b/>
          <w:bCs/>
          <w:color w:val="auto"/>
          <w:kern w:val="0"/>
          <w:sz w:val="24"/>
          <w:szCs w:val="24"/>
          <w:lang w:val="es-AR" w:eastAsia="es-AR" w:bidi="ar-SA"/>
        </w:rPr>
        <w:t>(se adelantó para el jueves 8 de septiembre)</w:t>
      </w:r>
    </w:p>
    <w:p>
      <w:pPr>
        <w:pStyle w:val="Normal"/>
        <w:spacing w:lineRule="auto" w:line="240" w:before="280" w:after="280"/>
        <w:rPr/>
      </w:pPr>
      <w:r>
        <w:rPr>
          <w:rFonts w:eastAsia="Times New Roman" w:cs="Times New Roman" w:ascii="Times New Roman" w:hAnsi="Times New Roman"/>
          <w:sz w:val="24"/>
          <w:szCs w:val="24"/>
          <w:lang w:eastAsia="es-AR"/>
        </w:rPr>
        <w:t>8 - TEMAS VARIOS</w:t>
      </w:r>
    </w:p>
    <w:p>
      <w:pPr>
        <w:pStyle w:val="Normal"/>
        <w:spacing w:lineRule="auto" w:line="240" w:before="280" w:after="280"/>
        <w:rPr>
          <w:rFonts w:ascii="Times New Roman" w:hAnsi="Times New Roman" w:eastAsia="Times New Roman" w:cs="Times New Roman"/>
          <w:sz w:val="24"/>
          <w:szCs w:val="24"/>
          <w:lang w:eastAsia="es-AR"/>
        </w:rPr>
      </w:pPr>
      <w:r>
        <w:rPr/>
        <w:t>Juan Carlos comenta el tema de los caché. Facebook terminó de hacer pruebas de la re configuración de hardware con modalidad MPFNA, por lo que CABASE hará nuevamente el pedido formal de los caché tanto para San Juan un par de IXP.  De AKAMAY habían prometido desplegar los servidores en Córdoba y Mendoza paro todavía no hay novedades.</w:t>
      </w:r>
    </w:p>
    <w:p>
      <w:pPr>
        <w:pStyle w:val="Normal"/>
        <w:spacing w:lineRule="auto" w:line="240" w:before="280" w:after="280"/>
        <w:rPr>
          <w:rFonts w:ascii="Times New Roman" w:hAnsi="Times New Roman" w:eastAsia="Times New Roman" w:cs="Times New Roman"/>
          <w:sz w:val="24"/>
          <w:szCs w:val="24"/>
          <w:lang w:eastAsia="es-AR"/>
        </w:rPr>
      </w:pPr>
      <w:r>
        <w:rPr/>
        <w:t xml:space="preserve">Juan Carlos comenta que se debe hacer la correcta registración en PeeringDB. </w:t>
      </w:r>
      <w:r>
        <w:rPr/>
        <w:t xml:space="preserve">Cuando se solicita un caché, las CDN busca información en este lugar para sacar el trafico del IXP. </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1401</TotalTime>
  <Application>LibreOffice/6.4.7.2$Linux_X86_64 LibreOffice_project/40$Build-2</Application>
  <Pages>4</Pages>
  <Words>892</Words>
  <Characters>4372</Characters>
  <CharactersWithSpaces>5158</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2022-09-01T12:26:55Z</dcterms:modified>
  <cp:revision>134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