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08</w:t>
      </w:r>
      <w:r>
        <w:rPr>
          <w:rFonts w:eastAsia="Times New Roman" w:cs="Times New Roman" w:ascii="Times New Roman" w:hAnsi="Times New Roman"/>
          <w:color w:val="auto"/>
          <w:kern w:val="0"/>
          <w:sz w:val="20"/>
          <w:szCs w:val="20"/>
          <w:lang w:val="es-AR" w:eastAsia="es-AR" w:bidi="ar-SA"/>
        </w:rPr>
        <w:t xml:space="preserve"> de septiembre </w:t>
      </w:r>
      <w:r>
        <w:rPr>
          <w:rFonts w:eastAsia="Times New Roman" w:cs="Times New Roman" w:ascii="Times New Roman" w:hAnsi="Times New Roman"/>
          <w:sz w:val="20"/>
          <w:szCs w:val="20"/>
          <w:lang w:eastAsia="es-AR"/>
        </w:rPr>
        <w:t>de 2022</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57" w:type="dxa"/>
        <w:jc w:val="left"/>
        <w:tblInd w:w="118" w:type="dxa"/>
        <w:tblLayout w:type="fixed"/>
        <w:tblCellMar>
          <w:top w:w="0" w:type="dxa"/>
          <w:left w:w="60" w:type="dxa"/>
          <w:bottom w:w="0" w:type="dxa"/>
          <w:right w:w="70" w:type="dxa"/>
        </w:tblCellMar>
      </w:tblPr>
      <w:tblGrid>
        <w:gridCol w:w="1246"/>
        <w:gridCol w:w="1358"/>
        <w:gridCol w:w="3121"/>
        <w:gridCol w:w="1831"/>
      </w:tblGrid>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lang w:val="es-AR" w:eastAsia="es-ES" w:bidi="ar-SA"/>
              </w:rPr>
            </w:pPr>
            <w:r>
              <w:rPr>
                <w:rFonts w:eastAsia="Times New Roman" w:cs="Times New Roman" w:ascii="Times New Roman" w:hAnsi="Times New Roman"/>
                <w:color w:val="000000"/>
                <w:sz w:val="24"/>
                <w:szCs w:val="24"/>
                <w:lang w:val="es-AR" w:eastAsia="es-ES" w:bidi="ar-SA"/>
              </w:rPr>
              <w:t>NOMBRE</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lang w:val="es-AR" w:eastAsia="es-ES" w:bidi="ar-SA"/>
              </w:rPr>
            </w:pPr>
            <w:r>
              <w:rPr>
                <w:rFonts w:eastAsia="Times New Roman" w:cs="Times New Roman" w:ascii="Times New Roman" w:hAnsi="Times New Roman"/>
                <w:color w:val="000000"/>
                <w:sz w:val="24"/>
                <w:szCs w:val="24"/>
                <w:lang w:val="es-AR" w:eastAsia="es-ES" w:bidi="ar-SA"/>
              </w:rPr>
              <w:t>APELLIDO</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RAZÓN SOCIAL A LA QUE REPRESENTA </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kern w:val="0"/>
                <w:sz w:val="24"/>
                <w:szCs w:val="24"/>
                <w:lang w:val="es-AR" w:eastAsia="es-ES" w:bidi="ar-SA"/>
              </w:rPr>
            </w:pPr>
            <w:r>
              <w:rPr>
                <w:rFonts w:eastAsia="Times New Roman" w:cs="Times New Roman" w:ascii="Times New Roman" w:hAnsi="Times New Roman"/>
                <w:color w:val="000000"/>
                <w:kern w:val="0"/>
                <w:sz w:val="24"/>
                <w:szCs w:val="24"/>
                <w:lang w:val="es-AR" w:eastAsia="es-ES" w:bidi="ar-SA"/>
              </w:rPr>
              <w:t>Presentes</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auto"/>
                <w:kern w:val="0"/>
                <w:sz w:val="24"/>
                <w:szCs w:val="24"/>
                <w:lang w:val="es-AR" w:eastAsia="es-AR" w:bidi="ar-SA"/>
              </w:rPr>
            </w:pPr>
            <w:r>
              <w:rPr/>
              <w:t>CABASE</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auto"/>
                <w:kern w:val="0"/>
                <w:sz w:val="24"/>
                <w:szCs w:val="24"/>
                <w:lang w:val="es-AR" w:eastAsia="es-AR" w:bidi="ar-SA"/>
              </w:rPr>
            </w:pPr>
            <w:r>
              <w:rPr>
                <w:rFonts w:eastAsia="Times New Roman" w:cs="Times New Roman" w:ascii="Times New Roman" w:hAnsi="Times New Roman"/>
                <w:color w:val="auto"/>
                <w:kern w:val="0"/>
                <w:sz w:val="24"/>
                <w:szCs w:val="24"/>
                <w:lang w:val="es-AR" w:eastAsia="es-AR" w:bidi="ar-SA"/>
              </w:rPr>
              <w:t>On Power</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t>Hernan</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Bourdieu</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rFonts w:eastAsia="Calibri" w:cs="DejaVu Sans"/>
                <w:color w:val="auto"/>
                <w:kern w:val="0"/>
                <w:sz w:val="22"/>
                <w:szCs w:val="22"/>
                <w:lang w:val="es-AR" w:eastAsia="en-US" w:bidi="ar-SA"/>
              </w:rPr>
              <w:t>Ariel</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Passarelli</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t>Carlos</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González</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Ricardo</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Goldberg</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rFonts w:eastAsia="Calibri" w:cs="DejaVu Sans"/>
                <w:color w:val="auto"/>
                <w:kern w:val="0"/>
                <w:sz w:val="22"/>
                <w:szCs w:val="22"/>
                <w:lang w:val="es-AR" w:eastAsia="en-US" w:bidi="ar-SA"/>
              </w:rPr>
              <w:t>Carlos</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Guillen</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GSP</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rFonts w:eastAsia="Calibri" w:cs="DejaVu Sans"/>
                <w:color w:val="auto"/>
                <w:kern w:val="0"/>
                <w:sz w:val="22"/>
                <w:szCs w:val="22"/>
                <w:lang w:val="es-AR" w:eastAsia="en-US" w:bidi="ar-SA"/>
              </w:rPr>
              <w:t>Gastón</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rFonts w:eastAsia="Calibri" w:cs="DejaVu Sans"/>
                <w:color w:val="auto"/>
                <w:kern w:val="0"/>
                <w:sz w:val="22"/>
                <w:szCs w:val="22"/>
                <w:lang w:val="es-AR" w:eastAsia="en-US" w:bidi="ar-SA"/>
              </w:rPr>
              <w:t>Pechieu</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Iván</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Gutiérrez</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Facundo</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Carrizo</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Raúl</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Cortez</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Sergio</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Aprea</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Roberto</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Agüero</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Alejandro</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Cuadra</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David</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Vega</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Nicolas</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Vallejo</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t>Fabián</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Aguilera</w:t>
            </w:r>
          </w:p>
        </w:tc>
        <w:tc>
          <w:tcPr>
            <w:tcW w:w="3121" w:type="dxa"/>
            <w:tcBorders>
              <w:left w:val="single" w:sz="8" w:space="0" w:color="000000"/>
              <w:bottom w:val="single" w:sz="8" w:space="0" w:color="000000"/>
              <w:right w:val="single" w:sz="8" w:space="0" w:color="000000"/>
            </w:tcBorders>
            <w:shd w:fill="auto" w:val="clear"/>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rFonts w:eastAsia="Calibri" w:cs="DejaVu Sans"/>
                <w:color w:val="auto"/>
                <w:kern w:val="0"/>
                <w:sz w:val="22"/>
                <w:szCs w:val="22"/>
                <w:lang w:val="es-AR" w:eastAsia="en-US" w:bidi="ar-SA"/>
              </w:rPr>
              <w:t>Hugo</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Leiria</w:t>
            </w:r>
          </w:p>
        </w:tc>
        <w:tc>
          <w:tcPr>
            <w:tcW w:w="3121" w:type="dxa"/>
            <w:tcBorders>
              <w:left w:val="single" w:sz="8" w:space="0" w:color="000000"/>
              <w:bottom w:val="single" w:sz="8" w:space="0" w:color="000000"/>
              <w:right w:val="single" w:sz="8" w:space="0" w:color="000000"/>
            </w:tcBorders>
            <w:shd w:fill="auto" w:val="clear"/>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t>Victor</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Martinez</w:t>
            </w:r>
          </w:p>
        </w:tc>
        <w:tc>
          <w:tcPr>
            <w:tcW w:w="3121" w:type="dxa"/>
            <w:tcBorders>
              <w:left w:val="single" w:sz="8" w:space="0" w:color="000000"/>
              <w:bottom w:val="single" w:sz="8" w:space="0" w:color="000000"/>
              <w:right w:val="single" w:sz="8" w:space="0" w:color="000000"/>
            </w:tcBorders>
            <w:shd w:fill="auto" w:val="clear"/>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t>Sebastián</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Sánchez</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Calibri" w:hAnsi="Calibri" w:eastAsia="Calibri" w:cs="DejaVu Sans"/>
                <w:color w:val="auto"/>
                <w:kern w:val="0"/>
                <w:sz w:val="22"/>
                <w:szCs w:val="22"/>
                <w:lang w:val="es-AR" w:eastAsia="en-US" w:bidi="ar-SA"/>
              </w:rPr>
            </w:pPr>
            <w:r>
              <w:rPr/>
              <w:t xml:space="preserve">Julio </w:t>
            </w:r>
          </w:p>
        </w:tc>
        <w:tc>
          <w:tcPr>
            <w:tcW w:w="1358"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 xml:space="preserve">Nostray </w:t>
            </w:r>
          </w:p>
        </w:tc>
        <w:tc>
          <w:tcPr>
            <w:tcW w:w="312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shd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left="0" w:right="0" w:hanging="360"/>
        <w:rPr/>
      </w:pPr>
      <w:r>
        <w:rPr>
          <w:rFonts w:eastAsia="Times New Roman" w:cs="Times New Roman" w:ascii="Times New Roman" w:hAnsi="Times New Roman"/>
          <w:sz w:val="20"/>
          <w:szCs w:val="20"/>
          <w:lang w:eastAsia="es-AR"/>
        </w:rPr>
        <w:t>1.</w:t>
      </w:r>
      <w:r>
        <w:rPr>
          <w:rFonts w:eastAsia="Times New Roman" w:cs="Times New Roman" w:ascii="Times New Roman" w:hAnsi="Times New Roman"/>
          <w:sz w:val="14"/>
          <w:szCs w:val="14"/>
          <w:lang w:eastAsia="es-AR"/>
        </w:rPr>
        <w:t xml:space="preserve">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Fonts w:eastAsia="Times New Roman" w:cs="Times New Roman" w:ascii="Times New Roman" w:hAnsi="Times New Roman"/>
            <w:color w:val="0000FF"/>
            <w:sz w:val="24"/>
            <w:szCs w:val="24"/>
            <w:u w:val="single"/>
            <w:lang w:eastAsia="es-AR"/>
          </w:rPr>
          <w:t>ixpsanjuan@listas.cabase.org.ar</w:t>
        </w:r>
      </w:hyperlink>
      <w:r>
        <w:rPr>
          <w:rFonts w:eastAsia="Times New Roman" w:cs="Times New Roman" w:ascii="Times New Roman" w:hAnsi="Times New Roman"/>
          <w:sz w:val="24"/>
          <w:szCs w:val="24"/>
          <w:lang w:eastAsia="es-AR"/>
        </w:rPr>
        <w:t xml:space="preserve"> : 01 de septiembre de 2022</w:t>
      </w:r>
    </w:p>
    <w:p>
      <w:pPr>
        <w:pStyle w:val="Normal"/>
        <w:spacing w:lineRule="auto" w:line="240" w:before="280" w:after="280"/>
        <w:ind w:left="0" w:right="0" w:hanging="36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ind w:left="0" w:right="0" w:hanging="36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Caja, se cuenta con el siguiente detalle al 10</w:t>
      </w:r>
      <w:r>
        <w:rPr>
          <w:rFonts w:eastAsia="Times New Roman" w:cs="Times New Roman" w:ascii="Times New Roman" w:hAnsi="Times New Roman"/>
          <w:color w:val="auto"/>
          <w:kern w:val="0"/>
          <w:sz w:val="24"/>
          <w:szCs w:val="24"/>
          <w:lang w:val="es-AR" w:eastAsia="es-AR" w:bidi="ar-SA"/>
        </w:rPr>
        <w:t xml:space="preserve"> de agosto</w:t>
      </w:r>
      <w:r>
        <w:rPr>
          <w:rFonts w:eastAsia="Times New Roman" w:cs="Times New Roman" w:ascii="Times New Roman" w:hAnsi="Times New Roman"/>
          <w:sz w:val="24"/>
          <w:szCs w:val="24"/>
          <w:lang w:eastAsia="es-AR"/>
        </w:rPr>
        <w:t xml:space="preserve"> de 2022</w:t>
      </w:r>
    </w:p>
    <w:p>
      <w:pPr>
        <w:pStyle w:val="Cuerpodetexto"/>
        <w:spacing w:lineRule="auto" w:line="240" w:before="280" w:after="280"/>
        <w:ind w:left="0" w:right="0" w:hanging="0"/>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Sin datos a la fecha de la reunión</w:t>
      </w:r>
    </w:p>
    <w:p>
      <w:pPr>
        <w:pStyle w:val="Normal"/>
        <w:spacing w:lineRule="auto" w:line="240" w:before="280" w:after="280"/>
        <w:ind w:left="0" w:right="0" w:hanging="0"/>
        <w:contextualSpacing/>
        <w:rPr/>
      </w:pPr>
      <w:r>
        <w:rPr>
          <w:rFonts w:eastAsia="Times New Roman" w:cs="Times New Roman" w:ascii="Times New Roman" w:hAnsi="Times New Roman"/>
          <w:sz w:val="24"/>
          <w:szCs w:val="24"/>
          <w:lang w:eastAsia="es-AR"/>
        </w:rPr>
        <w:t>Caja:</w:t>
      </w:r>
      <w:r>
        <w:rPr>
          <w:rFonts w:eastAsia="Times New Roman" w:cs="Times New Roman" w:ascii="Times New Roman" w:hAnsi="Times New Roman"/>
          <w:color w:val="auto"/>
          <w:kern w:val="0"/>
          <w:sz w:val="24"/>
          <w:szCs w:val="24"/>
          <w:lang w:val="es-AR" w:eastAsia="es-AR" w:bidi="ar-SA"/>
        </w:rPr>
        <w:t xml:space="preserve"> $ 114.661,75</w:t>
      </w:r>
    </w:p>
    <w:p>
      <w:pPr>
        <w:pStyle w:val="Normal"/>
        <w:spacing w:lineRule="auto" w:line="240" w:before="280" w:after="280"/>
        <w:ind w:left="0" w:right="0" w:hanging="0"/>
        <w:contextualSpacing/>
        <w:rPr/>
      </w:pPr>
      <w:r>
        <w:rPr>
          <w:rFonts w:eastAsia="Times New Roman" w:cs="Times New Roman" w:ascii="Times New Roman" w:hAnsi="Times New Roman"/>
          <w:sz w:val="24"/>
          <w:szCs w:val="24"/>
          <w:lang w:eastAsia="es-AR"/>
        </w:rPr>
        <w:t>Fondo de Reserva: $ 105.625,00,-    En dólares: U$S 0,-</w:t>
      </w:r>
    </w:p>
    <w:p>
      <w:pPr>
        <w:pStyle w:val="Normal"/>
        <w:spacing w:lineRule="auto" w:line="240" w:before="280" w:after="280"/>
        <w:contextualSpacing/>
        <w:rPr/>
      </w:pPr>
      <w:r>
        <w:rPr>
          <w:rFonts w:eastAsia="Times New Roman" w:cs="Times New Roman" w:ascii="Times New Roman" w:hAnsi="Times New Roman"/>
          <w:sz w:val="24"/>
          <w:szCs w:val="24"/>
          <w:lang w:eastAsia="es-AR"/>
        </w:rPr>
        <w:t xml:space="preserve">Deuda: </w:t>
      </w:r>
      <w:r>
        <w:rPr>
          <w:rFonts w:eastAsia="Times New Roman" w:cs="Times New Roman" w:ascii="Times New Roman" w:hAnsi="Times New Roman"/>
          <w:color w:val="000000"/>
          <w:sz w:val="24"/>
          <w:szCs w:val="24"/>
          <w:lang w:eastAsia="es-AR"/>
        </w:rPr>
        <w:t xml:space="preserve"> </w:t>
      </w:r>
      <w:r>
        <w:rPr>
          <w:rFonts w:eastAsia="Times New Roman" w:cs="Times New Roman" w:ascii="Times New Roman" w:hAnsi="Times New Roman"/>
          <w:color w:val="C9211E"/>
          <w:kern w:val="0"/>
          <w:sz w:val="24"/>
          <w:szCs w:val="24"/>
          <w:lang w:val="es-AR" w:eastAsia="es-AR" w:bidi="ar-SA"/>
        </w:rPr>
        <w:t xml:space="preserve">$ 149.076,84,- </w:t>
      </w:r>
    </w:p>
    <w:p>
      <w:pPr>
        <w:pStyle w:val="Normal"/>
        <w:spacing w:lineRule="auto" w:line="240" w:before="280" w:after="280"/>
        <w:contextualSpacing/>
        <w:rPr/>
      </w:pPr>
      <w:r>
        <w:rPr>
          <w:rFonts w:eastAsia="Times New Roman" w:cs="Times New Roman" w:ascii="Times New Roman" w:hAnsi="Times New Roman"/>
          <w:color w:val="000000"/>
          <w:sz w:val="24"/>
          <w:szCs w:val="24"/>
          <w:lang w:eastAsia="es-AR"/>
        </w:rPr>
        <w:t>Plazo Fijo: $ 288.910,20</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CORTEZ RAÚL OMAR:     $ 27.733,20</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GPS SAN JUAN S.R.L. :        $ 9.866,34</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VEGA CESAR AUGUSTO: $ 50.820,00</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PECHIEU GASTON:            $ 32.924,10</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INTERSAT SA:</w:t>
        <w:tab/>
        <w:tab/>
        <w:tab/>
        <w:tab/>
        <w:t>$ 27.733,20</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 xml:space="preserve">Alejandro reporta que ya está funcionando el cache nuevo de Google, todavía no entrega el 100% porque se está actualizando, los puertos del switch son 25, 26, 27, y 28. Para la supervisión. Los servidores están en el rack y el cache anterior está desconectado. </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Otra novedad es que ya se pudo desafectar el switch CISCO que teníamos de préstamo de CABASE.</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Otro tema es que se contactaron de la empresa ECOTEL, por la acometida de fibra de Telefónica para el servicio de InnovaSJ. Tenían mal el domicilio en el proyecto técnico, por lo que tendrían que hacer un proyecto técnico nuevo. Se funcionarán el las botellas que están en la terraza.</w:t>
      </w:r>
    </w:p>
    <w:p>
      <w:pPr>
        <w:pStyle w:val="Normal"/>
        <w:spacing w:lineRule="auto" w:line="240" w:before="280" w:after="280"/>
        <w:jc w:val="both"/>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rPr>
        <w:t>Respecto al servidor HP, se solicitará otra función porque lo único que hace es smog ping para monitoreo.</w:t>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jc w:val="both"/>
        <w:rPr/>
      </w:pPr>
      <w:r>
        <w:rPr>
          <w:rFonts w:eastAsia="Times New Roman" w:cs="Times New Roman" w:ascii="Times New Roman" w:hAnsi="Times New Roman"/>
          <w:sz w:val="24"/>
          <w:szCs w:val="24"/>
          <w:lang w:eastAsia="es-AR"/>
        </w:rPr>
        <w:t>Juan Carlos solicita que se registre correctamente en PeeringDB con todos los datos debido a que los CDN busca informaci</w:t>
      </w:r>
      <w:r>
        <w:rPr>
          <w:rFonts w:eastAsia="Times New Roman" w:cs="Times New Roman" w:ascii="Times New Roman" w:hAnsi="Times New Roman"/>
          <w:color w:val="auto"/>
          <w:kern w:val="0"/>
          <w:sz w:val="24"/>
          <w:szCs w:val="24"/>
          <w:lang w:val="es-AR" w:eastAsia="es-AR" w:bidi="ar-SA"/>
        </w:rPr>
        <w:t>ón en esta base de datos los datos necesaria para el envío de los caches.</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Sergio comenta como está del lado de Netropolys el servicio contratado a Telefónica. Si bien todavía están en plazo, lo tienen bastante complicado del lado de BsAs. Habían dos cámaras inundadas que ya esta solucionado. Pero cuando revisan, no tienen pelos libres para el ingreso en Suipacha. Por lo que tienen que hacer una acometida nueva pero no tienen ductos libres y deben hacer una canalización nueva y deben pedir permiso a la Ciudad por lo que no informan de plazos de instalación. Este problema está también para el servicio de InnovaSJ. Van a instalar un equipamiento nuevo en SyT por lo que no necesitaran mas que dos pelos para los dos servicios, el de Netropolys y el de InnovaSJ.</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Ariel comenta que del lado de Claro no tienen ninguna novedad de una nueva propuesta. Están esperando la respuesta de área de Marketing. Se está analizando el tema de respaldo, el precio de los 10 Gbps actuales y la posibilidad de ampliación de la capacidad.</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 xml:space="preserve">Sergio comenta que desde el área técnica de CABASE le informan que no están preparados para la solución que se está planteando, es decir direccionar el tráfico solo para cache por un enlace y la futura ampliaciones. Lo que tienen preparado es balancear por todos los enlaces. La solución planeada desde el IXP-UAQ es utilizar 10 Gbps de Claro, 10 Gbps de Netrópolys compartido por todos y 10 Gbps de uso explosivo de Netropolys. </w:t>
      </w:r>
      <w:r>
        <w:rPr>
          <w:rFonts w:eastAsia="Times New Roman" w:cs="Times New Roman" w:ascii="Times New Roman" w:hAnsi="Times New Roman"/>
          <w:color w:val="auto"/>
          <w:kern w:val="0"/>
          <w:sz w:val="24"/>
          <w:szCs w:val="24"/>
          <w:lang w:val="es-AR" w:eastAsia="es-AR" w:bidi="ar-SA"/>
        </w:rPr>
        <w:t>Se plantea organizar una reunión con los técnicos de CABASE para explicar esta solución y las futuras ampliaciones.</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Juan Carlos comenta que falta el proyecto técnico de InnovaSJ.</w:t>
      </w:r>
    </w:p>
    <w:p>
      <w:pPr>
        <w:pStyle w:val="Normal"/>
        <w:spacing w:lineRule="auto" w:line="240" w:before="280" w:after="280"/>
        <w:jc w:val="both"/>
        <w:rPr/>
      </w:pPr>
      <w:r>
        <w:rPr>
          <w:rFonts w:eastAsia="Times New Roman" w:cs="Times New Roman" w:ascii="Times New Roman" w:hAnsi="Times New Roman"/>
          <w:color w:val="auto"/>
          <w:kern w:val="0"/>
          <w:sz w:val="24"/>
          <w:szCs w:val="24"/>
          <w:lang w:val="es-AR" w:eastAsia="es-AR" w:bidi="ar-SA"/>
        </w:rPr>
        <w:t xml:space="preserve">Hernan responde a una consulta de Facurdo respeto a al finalización del contrato. Claro no se retirará del NAP y se podrá negociar cada uno. No es lo mismo este servicio que un servicio a un cliente común. </w:t>
      </w:r>
    </w:p>
    <w:p>
      <w:pPr>
        <w:pStyle w:val="Normal"/>
        <w:spacing w:lineRule="auto" w:line="240" w:before="280" w:after="280"/>
        <w:jc w:val="both"/>
        <w:rPr/>
      </w:pPr>
      <w:r>
        <w:rPr>
          <w:rFonts w:eastAsia="Times New Roman" w:cs="Times New Roman" w:ascii="Times New Roman" w:hAnsi="Times New Roman"/>
          <w:sz w:val="24"/>
          <w:szCs w:val="24"/>
          <w:lang w:eastAsia="es-AR"/>
        </w:rPr>
        <w:t>6- ALTAS, BAJAS Y MODIFICACIONES</w:t>
      </w:r>
    </w:p>
    <w:p>
      <w:pPr>
        <w:pStyle w:val="Normal"/>
        <w:spacing w:lineRule="auto" w:line="240" w:before="280" w:after="280"/>
        <w:jc w:val="both"/>
        <w:rPr>
          <w:rFonts w:ascii="Times New Roman" w:hAnsi="Times New Roman" w:eastAsia="Times New Roman" w:cs="Times New Roman"/>
          <w:color w:val="auto"/>
          <w:kern w:val="0"/>
          <w:sz w:val="24"/>
          <w:szCs w:val="24"/>
          <w:lang w:val="es-AR" w:eastAsia="es-AR" w:bidi="ar-SA"/>
        </w:rPr>
      </w:pPr>
      <w:r>
        <w:rPr>
          <w:rFonts w:eastAsia="Times New Roman" w:cs="Times New Roman" w:ascii="Times New Roman" w:hAnsi="Times New Roman"/>
          <w:color w:val="auto"/>
          <w:kern w:val="0"/>
          <w:sz w:val="24"/>
          <w:szCs w:val="24"/>
          <w:lang w:val="es-AR" w:eastAsia="es-AR" w:bidi="ar-SA"/>
        </w:rPr>
        <w:t>Sin novedades</w:t>
      </w:r>
    </w:p>
    <w:p>
      <w:pPr>
        <w:pStyle w:val="Normal"/>
        <w:spacing w:lineRule="auto" w:line="240" w:before="280" w:after="280"/>
        <w:jc w:val="both"/>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ind w:left="720" w:right="0" w:hanging="0"/>
        <w:contextualSpacing/>
        <w:jc w:val="both"/>
        <w:rPr/>
      </w:pPr>
      <w:r>
        <w:rPr>
          <w:rFonts w:eastAsia="Times New Roman" w:cs="Times New Roman" w:ascii="Times New Roman" w:hAnsi="Times New Roman"/>
          <w:sz w:val="24"/>
          <w:szCs w:val="24"/>
          <w:lang w:eastAsia="es-AR"/>
        </w:rPr>
        <w:t xml:space="preserve">FECHA DE PRÓXIMA REUNIÓN: </w:t>
      </w:r>
      <w:r>
        <w:rPr>
          <w:rFonts w:eastAsia="Times New Roman" w:cs="Times New Roman" w:ascii="Times New Roman" w:hAnsi="Times New Roman"/>
          <w:b/>
          <w:bCs/>
          <w:sz w:val="24"/>
          <w:szCs w:val="24"/>
          <w:lang w:eastAsia="es-AR"/>
        </w:rPr>
        <w:t>13 de octubre de 2022, a las 9:</w:t>
      </w:r>
      <w:r>
        <w:rPr>
          <w:rFonts w:eastAsia="Times New Roman" w:cs="Times New Roman" w:ascii="Times New Roman" w:hAnsi="Times New Roman"/>
          <w:b/>
          <w:bCs/>
          <w:color w:val="auto"/>
          <w:kern w:val="0"/>
          <w:sz w:val="24"/>
          <w:szCs w:val="24"/>
          <w:lang w:val="es-AR" w:eastAsia="es-AR" w:bidi="ar-SA"/>
        </w:rPr>
        <w:t>30</w:t>
      </w:r>
    </w:p>
    <w:p>
      <w:pPr>
        <w:pStyle w:val="Normal"/>
        <w:spacing w:lineRule="auto" w:line="240" w:before="280" w:after="280"/>
        <w:jc w:val="both"/>
        <w:rPr/>
      </w:pPr>
      <w:r>
        <w:rPr>
          <w:rFonts w:eastAsia="Times New Roman" w:cs="Times New Roman" w:ascii="Times New Roman" w:hAnsi="Times New Roman"/>
          <w:sz w:val="24"/>
          <w:szCs w:val="24"/>
          <w:lang w:eastAsia="es-AR"/>
        </w:rPr>
        <w:t>8 - TEMAS VARIOS</w:t>
      </w:r>
    </w:p>
    <w:p>
      <w:pPr>
        <w:pStyle w:val="Normal"/>
        <w:spacing w:lineRule="auto" w:line="240" w:before="280" w:after="280"/>
        <w:jc w:val="both"/>
        <w:rPr/>
      </w:pPr>
      <w:r>
        <w:rPr>
          <w:rFonts w:eastAsia="Times New Roman" w:cs="Times New Roman" w:ascii="Times New Roman" w:hAnsi="Times New Roman"/>
          <w:sz w:val="24"/>
          <w:szCs w:val="24"/>
          <w:lang w:eastAsia="es-AR"/>
        </w:rPr>
        <w:t>Juan Carlos comenta algunas incorporaciones en CABASE de puestos que hab</w:t>
      </w:r>
      <w:r>
        <w:rPr>
          <w:rFonts w:eastAsia="Times New Roman" w:cs="Times New Roman" w:ascii="Times New Roman" w:hAnsi="Times New Roman"/>
          <w:color w:val="auto"/>
          <w:kern w:val="0"/>
          <w:sz w:val="24"/>
          <w:szCs w:val="24"/>
          <w:lang w:val="es-AR" w:eastAsia="es-AR" w:bidi="ar-SA"/>
        </w:rPr>
        <w:t>ían quedado bacantes. El jefe del NOC que era ocupado por Martín Rodríguez ahora lo ocupa Eduardo Rivero y se incorporaron dos personas más para tener la guardia 7x24 Sandro Maidana y Gustavo Olivares. Respecto al diagrama de escalamiento, se envía junto al reporte por mail del consumo mensual.</w:t>
      </w:r>
    </w:p>
    <w:p>
      <w:pPr>
        <w:pStyle w:val="Normal"/>
        <w:spacing w:lineRule="auto" w:line="240" w:before="280" w:after="280"/>
        <w:jc w:val="both"/>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es-A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0"/>
      <w:jc w:val="left"/>
    </w:pPr>
    <w:rPr>
      <w:rFonts w:ascii="Calibri" w:hAnsi="Calibri" w:eastAsia="Calibri" w:cs="DejaVu Sans"/>
      <w:color w:val="auto"/>
      <w:kern w:val="0"/>
      <w:sz w:val="22"/>
      <w:szCs w:val="22"/>
      <w:lang w:val="es-AR" w:eastAsia="en-US" w:bidi="ar-SA"/>
    </w:rPr>
  </w:style>
  <w:style w:type="character" w:styleId="DefaultParagraphFont">
    <w:name w:val="Default Paragraph Font"/>
    <w:qFormat/>
    <w:rPr/>
  </w:style>
  <w:style w:type="character" w:styleId="TextosinformatoCar">
    <w:name w:val="Texto sin formato Car"/>
    <w:basedOn w:val="DefaultParagraphFont"/>
    <w:qFormat/>
    <w:rPr>
      <w:rFonts w:ascii="Times New Roman" w:hAnsi="Times New Roman" w:eastAsia="Times New Roman" w:cs="Times New Roman"/>
      <w:sz w:val="24"/>
      <w:szCs w:val="24"/>
      <w:lang w:eastAsia="es-AR"/>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qFormat/>
    <w:pPr>
      <w:spacing w:before="0" w:after="160"/>
      <w:ind w:left="720" w:right="0" w:hanging="0"/>
      <w:contextualSpacing/>
    </w:pPr>
    <w:rPr/>
  </w:style>
  <w:style w:type="paragraph" w:styleId="PlainText">
    <w:name w:val="Plain Text"/>
    <w:basedOn w:val="Normal"/>
    <w:qFormat/>
    <w:pPr>
      <w:spacing w:lineRule="auto" w:line="240" w:before="280" w:after="280"/>
    </w:pPr>
    <w:rPr>
      <w:rFonts w:ascii="Times New Roman" w:hAnsi="Times New Roman" w:eastAsia="Times New Roman" w:cs="Times New Roman"/>
      <w:sz w:val="24"/>
      <w:szCs w:val="24"/>
      <w:lang w:eastAsia="es-A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1455</TotalTime>
  <Application>LibreOffice/7.3.6.2$Linux_X86_64 LibreOffice_project/30$Build-2</Application>
  <AppVersion>15.0000</AppVersion>
  <DocSecurity>0</DocSecurity>
  <Pages>5</Pages>
  <Words>865</Words>
  <Characters>4255</Characters>
  <CharactersWithSpaces>5018</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2019-07-30T13:40:00Z</dcterms:created>
  <dc:creator>Miguel Morandi</dc:creator>
  <dc:description/>
  <dc:language>es-AR</dc:language>
  <cp:lastModifiedBy/>
  <dcterms:modified xsi:type="dcterms:W3CDTF">2022-10-18T17:50:09Z</dcterms:modified>
  <cp:revision>138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