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FECHA: DÍA 08 de junio</w:t>
      </w:r>
      <w:r>
        <w:rPr>
          <w:rFonts w:eastAsia="Times New Roman" w:cs="Times New Roman" w:ascii="Times New Roman" w:hAnsi="Times New Roman"/>
          <w:color w:val="auto"/>
          <w:kern w:val="0"/>
          <w:sz w:val="20"/>
          <w:szCs w:val="20"/>
          <w:lang w:val="es-AR" w:eastAsia="es-AR" w:bidi="ar-SA"/>
        </w:rPr>
        <w:t xml:space="preserve"> </w:t>
      </w:r>
      <w:r>
        <w:rPr>
          <w:rFonts w:eastAsia="Times New Roman" w:cs="Times New Roman" w:ascii="Times New Roman" w:hAnsi="Times New Roman"/>
          <w:sz w:val="20"/>
          <w:szCs w:val="20"/>
          <w:lang w:eastAsia="es-AR"/>
        </w:rPr>
        <w:t>de 2023</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Layout w:type="fixed"/>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RAZÓN SOCIAL A LA QUE REPRESENTA</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kern w:val="0"/>
                <w:sz w:val="24"/>
                <w:szCs w:val="24"/>
                <w:lang w:val="es-AR" w:eastAsia="es-ES" w:bidi="ar-SA"/>
              </w:rPr>
            </w:pPr>
            <w:r>
              <w:rPr>
                <w:rFonts w:eastAsia="Times New Roman" w:cs="Times New Roman" w:ascii="Times New Roman" w:hAnsi="Times New Roman"/>
                <w:color w:val="000000"/>
                <w:kern w:val="0"/>
                <w:sz w:val="24"/>
                <w:szCs w:val="24"/>
                <w:lang w:val="es-AR" w:eastAsia="es-ES" w:bidi="ar-SA"/>
              </w:rPr>
              <w:t>Presentes</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Ernesto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Golom</w:t>
            </w:r>
            <w:r>
              <w:rPr>
                <w:rFonts w:eastAsia="Times New Roman" w:cs="Times New Roman" w:ascii="Times New Roman" w:hAnsi="Times New Roman"/>
                <w:sz w:val="24"/>
                <w:szCs w:val="24"/>
                <w:lang w:eastAsia="es-AR"/>
              </w:rPr>
              <w:t>b</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CABASE</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Andrés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Pugawko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auto"/>
                <w:kern w:val="0"/>
                <w:sz w:val="24"/>
                <w:szCs w:val="24"/>
                <w:lang w:val="es-AR" w:eastAsia="es-AR" w:bidi="ar-SA"/>
              </w:rPr>
            </w:pPr>
            <w: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Hernan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Ariel</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Passarelli</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Carlos</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González</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t>Romero</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Ricardo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Goldberg</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XF</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Fonts w:eastAsia="Calibri" w:cs="DejaVu Sans"/>
                <w:color w:val="auto"/>
                <w:kern w:val="0"/>
                <w:sz w:val="22"/>
                <w:szCs w:val="22"/>
                <w:lang w:val="es-AR" w:eastAsia="en-US" w:bidi="ar-SA"/>
              </w:rPr>
              <w:t>Carlos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Guillen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GSP</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759"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Gastón</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Pechieu</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NetLink</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Iván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Gutiérrez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Emanuel</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Cortez</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Intersat</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Raúl</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Cortez</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ZETRO</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Roberto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Agüero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Alejandro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Cuadra</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Técnico NAP 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Nicolas</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Vallejo</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Fabián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Aguilera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widowControl w:val="false"/>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Hugo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Leiria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widowControl w:val="false"/>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Martinez</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widowControl w:val="false"/>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Sebastián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Sánchez</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Netrópolys</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Julio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Nostray</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AustralNet</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Gustavo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González</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San Juan Innova</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Martin</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Raschi</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San Juan Innova</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Rodolfo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Arroqui</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San Juan Innova</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Sergio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Catal</w:t>
            </w:r>
            <w:r>
              <w:rPr>
                <w:rFonts w:eastAsia="Calibri" w:cs="DejaVu Sans"/>
                <w:color w:val="auto"/>
                <w:kern w:val="0"/>
                <w:sz w:val="22"/>
                <w:szCs w:val="22"/>
                <w:lang w:val="es-AR" w:eastAsia="en-US" w:bidi="ar-SA"/>
              </w:rPr>
              <w:t>á</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Puyuta</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bl>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rPr/>
      </w:pP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01 de junio de 2023</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Caja, se cuenta con el siguiente detalle al 08</w:t>
      </w:r>
      <w:r>
        <w:rPr>
          <w:rFonts w:eastAsia="Times New Roman" w:cs="Times New Roman" w:ascii="Times New Roman" w:hAnsi="Times New Roman"/>
          <w:color w:val="auto"/>
          <w:kern w:val="0"/>
          <w:sz w:val="24"/>
          <w:szCs w:val="24"/>
          <w:lang w:val="es-AR" w:eastAsia="es-AR" w:bidi="ar-SA"/>
        </w:rPr>
        <w:t xml:space="preserve"> de junio</w:t>
      </w:r>
      <w:r>
        <w:rPr>
          <w:rFonts w:eastAsia="Times New Roman" w:cs="Times New Roman" w:ascii="Times New Roman" w:hAnsi="Times New Roman"/>
          <w:sz w:val="24"/>
          <w:szCs w:val="24"/>
          <w:lang w:eastAsia="es-AR"/>
        </w:rPr>
        <w:t xml:space="preserve"> de 2023</w:t>
      </w:r>
      <w:r>
        <w:rPr>
          <w:rFonts w:eastAsia="Times New Roman" w:cs="Times New Roman" w:ascii="Times New Roman" w:hAnsi="Times New Roman"/>
          <w:color w:val="auto"/>
          <w:kern w:val="0"/>
          <w:sz w:val="24"/>
          <w:szCs w:val="24"/>
          <w:lang w:val="es-AR" w:eastAsia="es-AR" w:bidi="ar-SA"/>
        </w:rPr>
        <w:t xml:space="preserve"> </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w:t>
      </w:r>
      <w:r>
        <w:rPr>
          <w:rFonts w:eastAsia="Times New Roman" w:cs="Times New Roman" w:ascii="Times New Roman" w:hAnsi="Times New Roman"/>
          <w:color w:val="auto"/>
          <w:kern w:val="0"/>
          <w:sz w:val="24"/>
          <w:szCs w:val="24"/>
          <w:lang w:val="es-AR" w:eastAsia="es-AR" w:bidi="ar-SA"/>
        </w:rPr>
        <w:t xml:space="preserve"> </w:t>
      </w:r>
      <w:r>
        <w:rPr>
          <w:rFonts w:eastAsia="Times New Roman" w:cs="Times New Roman" w:ascii="Times New Roman" w:hAnsi="Times New Roman"/>
          <w:color w:val="C9211E"/>
          <w:kern w:val="0"/>
          <w:sz w:val="24"/>
          <w:szCs w:val="24"/>
          <w:lang w:val="es-AR" w:eastAsia="es-AR" w:bidi="ar-SA"/>
        </w:rPr>
        <w:t xml:space="preserve">$ -137.555,57 </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$ 0,00     En dólares: U$S 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C9211E"/>
          <w:kern w:val="0"/>
          <w:sz w:val="24"/>
          <w:szCs w:val="24"/>
          <w:lang w:val="es-AR" w:eastAsia="es-AR" w:bidi="ar-SA"/>
        </w:rPr>
        <w:t>$ -311.352,36</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$ 440.778,55</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t>CATALA SERGIO TADEO</w:t>
        <w:tab/>
        <w:t>$ 17.692,62</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t xml:space="preserve">CORTES RAÚL HERNÁN </w:t>
        <w:tab/>
        <w:t>$ 162.503,00</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t>GPS SAN JUAN S.R.L.</w:t>
        <w:tab/>
        <w:t>$ 25.109,92</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t>PÉCHIEU GASTÓN</w:t>
        <w:tab/>
        <w:t>$ 17.692,62</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t>VEGA CÉSAR AUGUSTO (ITIC)</w:t>
        <w:tab/>
        <w:t>$ 88.354,20</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Juan Carlos comenta que como cierra este mes el ejercicio, de continuar hasta el 21/06 la deuda (fecha de vencimiento del plazo fijo), se tomar</w:t>
      </w:r>
      <w:r>
        <w:rPr>
          <w:rFonts w:eastAsia="Times New Roman" w:cs="Times New Roman" w:ascii="Times New Roman" w:hAnsi="Times New Roman"/>
          <w:color w:val="000000"/>
          <w:kern w:val="0"/>
          <w:sz w:val="24"/>
          <w:szCs w:val="24"/>
          <w:lang w:val="es-AR" w:eastAsia="es-AR" w:bidi="ar-SA"/>
        </w:rPr>
        <w:t>á el plazo fijo para saldar la caja y no estar en negativo al cierre. También será necesario para el pago de la licencia de 100 Gbps. Por lo que se autoriza el uso de estos fondos para ese compromiso.</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b/>
          <w:bCs/>
          <w:sz w:val="24"/>
          <w:szCs w:val="24"/>
          <w:lang w:eastAsia="es-AR"/>
        </w:rPr>
        <w:t>3 PRESUPUESTO APROBADOS: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sin novedades</w:t>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rPr>
          <w:rFonts w:ascii="Times New Roman" w:hAnsi="Times New Roman" w:eastAsia="Times New Roman" w:cs="Times New Roman"/>
          <w:b w:val="false"/>
          <w:b w:val="false"/>
          <w:bCs w:val="false"/>
          <w:color w:val="auto"/>
          <w:kern w:val="0"/>
          <w:sz w:val="24"/>
          <w:szCs w:val="24"/>
          <w:lang w:val="es-AR" w:eastAsia="es-AR" w:bidi="ar-SA"/>
        </w:rPr>
      </w:pPr>
      <w:r>
        <w:rPr>
          <w:rFonts w:eastAsia="Times New Roman" w:cs="Times New Roman" w:ascii="Times New Roman" w:hAnsi="Times New Roman"/>
          <w:b w:val="false"/>
          <w:bCs w:val="false"/>
          <w:color w:val="auto"/>
          <w:kern w:val="0"/>
          <w:sz w:val="24"/>
          <w:szCs w:val="24"/>
          <w:lang w:val="es-AR" w:eastAsia="es-AR" w:bidi="ar-SA"/>
        </w:rPr>
        <w:t>Alejandro comenta que se mandó a la lista la modificación del proyecto técnico de GEO para la ampliación de su conexión.</w:t>
      </w:r>
    </w:p>
    <w:p>
      <w:pPr>
        <w:pStyle w:val="Normal"/>
        <w:spacing w:lineRule="auto" w:line="240" w:before="280" w:after="280"/>
        <w:rPr>
          <w:rFonts w:ascii="Times New Roman" w:hAnsi="Times New Roman" w:eastAsia="Times New Roman" w:cs="Times New Roman"/>
          <w:b w:val="false"/>
          <w:b w:val="false"/>
          <w:bCs w:val="false"/>
          <w:color w:val="auto"/>
          <w:kern w:val="0"/>
          <w:sz w:val="24"/>
          <w:szCs w:val="24"/>
          <w:lang w:val="es-AR" w:eastAsia="es-AR" w:bidi="ar-SA"/>
        </w:rPr>
      </w:pPr>
      <w:r>
        <w:rPr>
          <w:rFonts w:eastAsia="Times New Roman" w:cs="Times New Roman" w:ascii="Times New Roman" w:hAnsi="Times New Roman"/>
          <w:b w:val="false"/>
          <w:bCs w:val="false"/>
          <w:color w:val="auto"/>
          <w:kern w:val="0"/>
          <w:sz w:val="24"/>
          <w:szCs w:val="24"/>
          <w:lang w:val="es-AR" w:eastAsia="es-AR" w:bidi="ar-SA"/>
        </w:rPr>
        <w:t>Respecto al proyecto técnico de INNOVA S.J. Alejandro identificará los pelos donde se fusionará y comenta que le enviará el formato de presentación</w:t>
      </w:r>
      <w:r>
        <w:rPr>
          <w:rFonts w:eastAsia="Times New Roman" w:cs="Times New Roman" w:ascii="Times New Roman" w:hAnsi="Times New Roman"/>
          <w:b w:val="false"/>
          <w:bCs w:val="false"/>
          <w:color w:val="auto"/>
          <w:kern w:val="0"/>
          <w:sz w:val="24"/>
          <w:szCs w:val="24"/>
          <w:lang w:val="es-AR" w:eastAsia="es-AR" w:bidi="ar-SA"/>
        </w:rPr>
        <w:t xml:space="preserve"> </w:t>
      </w:r>
      <w:r>
        <w:rPr>
          <w:rFonts w:eastAsia="Times New Roman" w:cs="Times New Roman" w:ascii="Times New Roman" w:hAnsi="Times New Roman"/>
          <w:b w:val="false"/>
          <w:bCs w:val="false"/>
          <w:color w:val="auto"/>
          <w:kern w:val="0"/>
          <w:sz w:val="24"/>
          <w:szCs w:val="24"/>
          <w:lang w:val="es-AR" w:eastAsia="es-AR" w:bidi="ar-SA"/>
        </w:rPr>
        <w:t xml:space="preserve">del proyecto técnico </w:t>
      </w:r>
      <w:r>
        <w:rPr>
          <w:rFonts w:eastAsia="Times New Roman" w:cs="Times New Roman" w:ascii="Times New Roman" w:hAnsi="Times New Roman"/>
          <w:b w:val="false"/>
          <w:bCs w:val="false"/>
          <w:color w:val="auto"/>
          <w:kern w:val="0"/>
          <w:sz w:val="24"/>
          <w:szCs w:val="24"/>
          <w:lang w:val="es-AR" w:eastAsia="es-AR" w:bidi="ar-SA"/>
        </w:rPr>
        <w:t>en PDF</w:t>
      </w:r>
      <w:r>
        <w:rPr>
          <w:rFonts w:eastAsia="Times New Roman" w:cs="Times New Roman" w:ascii="Times New Roman" w:hAnsi="Times New Roman"/>
          <w:b w:val="false"/>
          <w:bCs w:val="false"/>
          <w:color w:val="auto"/>
          <w:kern w:val="0"/>
          <w:sz w:val="24"/>
          <w:szCs w:val="24"/>
          <w:lang w:val="es-AR" w:eastAsia="es-AR" w:bidi="ar-SA"/>
        </w:rPr>
        <w:t>. Enviará un mail a Martín con copia a Rodolfo.</w:t>
      </w:r>
    </w:p>
    <w:p>
      <w:pPr>
        <w:pStyle w:val="Normal"/>
        <w:spacing w:lineRule="auto" w:line="240" w:before="280" w:after="280"/>
        <w:rPr>
          <w:rFonts w:ascii="Times New Roman" w:hAnsi="Times New Roman" w:eastAsia="Times New Roman" w:cs="Times New Roman"/>
          <w:b w:val="false"/>
          <w:b w:val="false"/>
          <w:bCs w:val="false"/>
          <w:color w:val="auto"/>
          <w:kern w:val="0"/>
          <w:sz w:val="24"/>
          <w:szCs w:val="24"/>
          <w:lang w:val="es-AR" w:eastAsia="es-AR" w:bidi="ar-SA"/>
        </w:rPr>
      </w:pPr>
      <w:r>
        <w:rPr>
          <w:rFonts w:eastAsia="Times New Roman" w:cs="Times New Roman" w:ascii="Times New Roman" w:hAnsi="Times New Roman"/>
          <w:b w:val="false"/>
          <w:bCs w:val="false"/>
          <w:color w:val="auto"/>
          <w:kern w:val="0"/>
          <w:sz w:val="24"/>
          <w:szCs w:val="24"/>
          <w:lang w:val="es-AR" w:eastAsia="es-AR" w:bidi="ar-SA"/>
        </w:rPr>
        <w:t xml:space="preserve">Juan Carlos comenta que hay que tener previsión en el IXP para futuras CDNs. Se está analizando para el año que viene se está la instalación de nuevas CDN y el IXP-UAQ está en la lista para su instalación. Se está relevando las características de los data center (UPS, Electricidad, espacio, etc.). Miguel Morandi comenta que sería recomendable considerar el cambio de la UPS por otra de mayor potencia y rackeable. </w:t>
      </w:r>
      <w:r>
        <w:rPr>
          <w:rFonts w:eastAsia="Times New Roman" w:cs="Times New Roman" w:ascii="Times New Roman" w:hAnsi="Times New Roman"/>
          <w:b w:val="false"/>
          <w:bCs w:val="false"/>
          <w:color w:val="auto"/>
          <w:kern w:val="0"/>
          <w:sz w:val="24"/>
          <w:szCs w:val="24"/>
          <w:lang w:val="es-AR" w:eastAsia="es-AR" w:bidi="ar-SA"/>
        </w:rPr>
        <w:t>Con eso mejoramos potencia y espacio en el rack.</w:t>
      </w:r>
      <w:r>
        <w:rPr>
          <w:rFonts w:eastAsia="Times New Roman" w:cs="Times New Roman" w:ascii="Times New Roman" w:hAnsi="Times New Roman"/>
          <w:b w:val="false"/>
          <w:bCs w:val="false"/>
          <w:color w:val="auto"/>
          <w:kern w:val="0"/>
          <w:sz w:val="24"/>
          <w:szCs w:val="24"/>
          <w:lang w:val="es-AR" w:eastAsia="es-AR" w:bidi="ar-SA"/>
        </w:rPr>
        <w:t xml:space="preserve"> </w:t>
      </w:r>
    </w:p>
    <w:p>
      <w:pPr>
        <w:pStyle w:val="Normal"/>
        <w:spacing w:lineRule="auto" w:line="240" w:before="280" w:after="280"/>
        <w:rPr>
          <w:b/>
          <w:b/>
          <w:bCs/>
        </w:rPr>
      </w:pPr>
      <w:r>
        <w:rPr>
          <w:rFonts w:eastAsia="Times New Roman" w:cs="Times New Roman" w:ascii="Times New Roman" w:hAnsi="Times New Roman"/>
          <w:b/>
          <w:bCs/>
          <w:sz w:val="24"/>
          <w:szCs w:val="24"/>
          <w:lang w:eastAsia="es-AR"/>
        </w:rPr>
        <w:t>5- STATUS DE CONEXIONES DE LOS MIEMBROS DEL IXP</w:t>
      </w:r>
    </w:p>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Arroqui confirma que la ampliación a 35 Gbps estaría disponible a partir del 1 de julio.</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 xml:space="preserve">Facundo Casella comenta que SyT </w:t>
      </w:r>
      <w:r>
        <w:rPr>
          <w:rFonts w:eastAsia="Times New Roman" w:cs="Times New Roman" w:ascii="Times New Roman" w:hAnsi="Times New Roman"/>
          <w:color w:val="auto"/>
          <w:kern w:val="0"/>
          <w:sz w:val="24"/>
          <w:szCs w:val="24"/>
          <w:lang w:val="es-AR" w:eastAsia="es-AR" w:bidi="ar-SA"/>
        </w:rPr>
        <w:t xml:space="preserve">(Rockstar) </w:t>
      </w:r>
      <w:r>
        <w:rPr>
          <w:rFonts w:eastAsia="Times New Roman" w:cs="Times New Roman" w:ascii="Times New Roman" w:hAnsi="Times New Roman"/>
          <w:color w:val="auto"/>
          <w:kern w:val="0"/>
          <w:sz w:val="24"/>
          <w:szCs w:val="24"/>
          <w:lang w:val="es-AR" w:eastAsia="es-AR" w:bidi="ar-SA"/>
        </w:rPr>
        <w:t xml:space="preserve">quiere sumar un servidor </w:t>
      </w:r>
      <w:r>
        <w:rPr>
          <w:rFonts w:eastAsia="Times New Roman" w:cs="Times New Roman" w:ascii="Times New Roman" w:hAnsi="Times New Roman"/>
          <w:color w:val="auto"/>
          <w:kern w:val="0"/>
          <w:sz w:val="24"/>
          <w:szCs w:val="24"/>
          <w:lang w:val="es-AR" w:eastAsia="es-AR" w:bidi="ar-SA"/>
        </w:rPr>
        <w:t xml:space="preserve">GDEN en el IXP debido a que hay tres miembros y posiblemente un cuarto ya tienen el servicio multiplicando los recursos y se simplificaría el servicio. El servidor lo provee Rockstar y la solicitud sería de On-Power. El beneficio sería para los que tomen ese servicio. </w:t>
      </w:r>
      <w:r>
        <w:rPr>
          <w:rFonts w:eastAsia="Times New Roman" w:cs="Times New Roman" w:ascii="Times New Roman" w:hAnsi="Times New Roman"/>
          <w:color w:val="auto"/>
          <w:kern w:val="0"/>
          <w:sz w:val="24"/>
          <w:szCs w:val="24"/>
          <w:lang w:val="es-AR" w:eastAsia="es-AR" w:bidi="ar-SA"/>
        </w:rPr>
        <w:t>Queda aprobada la instalación del servidor GDEN.</w:t>
      </w:r>
    </w:p>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GPS no presentó el proyecto técnico comprometido en reuniones anteriores.</w:t>
      </w:r>
    </w:p>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Ethernet ya se asociaron a CABASE. Todavía no tienen en claro como llegar al IXP, están gestionando los recursos de LACNIC. Facundo comenta que hablaron con el para ver si pueden utilizar su fibra para llegar al IXP.</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FECHA DE PRÓXIMA REUNIÓN: 06 de julio de 2023</w:t>
      </w:r>
      <w:r>
        <w:rPr>
          <w:rFonts w:eastAsia="Times New Roman" w:cs="Times New Roman" w:ascii="Times New Roman" w:hAnsi="Times New Roman"/>
          <w:b/>
          <w:bCs/>
          <w:sz w:val="24"/>
          <w:szCs w:val="24"/>
          <w:lang w:eastAsia="es-AR"/>
        </w:rPr>
        <w:t>, a las 9:0</w:t>
      </w:r>
      <w:r>
        <w:rPr>
          <w:rFonts w:eastAsia="Times New Roman" w:cs="Times New Roman" w:ascii="Times New Roman" w:hAnsi="Times New Roman"/>
          <w:b/>
          <w:bCs/>
          <w:color w:val="auto"/>
          <w:kern w:val="0"/>
          <w:sz w:val="24"/>
          <w:szCs w:val="24"/>
          <w:lang w:val="es-AR" w:eastAsia="es-AR" w:bidi="ar-SA"/>
        </w:rPr>
        <w:t>0</w:t>
      </w:r>
    </w:p>
    <w:p>
      <w:pPr>
        <w:pStyle w:val="Normal"/>
        <w:spacing w:lineRule="auto" w:line="240" w:before="280" w:after="280"/>
        <w:rPr/>
      </w:pPr>
      <w:r>
        <w:rPr>
          <w:rFonts w:eastAsia="Times New Roman" w:cs="Times New Roman" w:ascii="Times New Roman" w:hAnsi="Times New Roman"/>
          <w:sz w:val="24"/>
          <w:szCs w:val="24"/>
          <w:lang w:eastAsia="es-AR"/>
        </w:rPr>
        <w:t>8 - TEMAS VARIOS</w:t>
      </w:r>
    </w:p>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es-A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2007</TotalTime>
  <Application>LibreOffice/7.3.7.2$Linux_X86_64 LibreOffice_project/30$Build-2</Application>
  <AppVersion>15.0000</AppVersion>
  <Pages>4</Pages>
  <Words>678</Words>
  <Characters>3360</Characters>
  <CharactersWithSpaces>3900</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2023-06-21T17:46:43Z</dcterms:modified>
  <cp:revision>183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