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06 de julio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2023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Emanuel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Fabián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Julio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Nostray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Gustavo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Martin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Raschi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Rodolfo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Arroqui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Sergio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Catal</w:t>
            </w: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á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Puyuta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21 de junio de 2023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 Caja, se cuenta con el siguiente detalle al 08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de junio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 -388.546,74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$ 0,00     En dólares: U$S 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-263.838,08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$ 440.778,55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 xml:space="preserve">CORTES RAÚL HERNÁN </w:t>
        <w:tab/>
        <w:t>$ -80.924,80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GPS SAN JUAN S.R.L.</w:t>
        <w:tab/>
        <w:t>$ -33.202,40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INTERREDES SA</w:t>
        <w:tab/>
        <w:t>$ -80.924,80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VEGA CÉSAR AUGUSTO (ITIC)</w:t>
        <w:tab/>
        <w:t>$ -60.693,60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SAN JUAN INNOVA S. E.</w:t>
        <w:tab/>
        <w:t>$ -8.092,48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Gastón comenta que se están saturando los enlaces y consulta como está la actualización de San Juan Innova.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Alejando comenta que no hay novedad del proyecto técnico de GPS, San Juan Innova lo envío ayer. La conexión sería solo para administrar sus equipos.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Hugo Leiria, comenta que está por hacer el ingreso de fibra para ampliar su conexión y también ingresarían los pelos para GPS y San Juan Innova.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Facundo comenta que la instalación del servidor Rockstar está demorado porque se bajó un interesado y a la consulta de Sergio sobre el consumo, lo absorberán los que utilizan el servicio.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Gastón comenta que la caída del servicio hace unos días se debió a una actualización de la tabla BGP en el switch HUAWEI y por algún motivo que se desconoce, la tabla BGP de TASA quedó vacía. Fue una tarea totalmente normal y se desconoce el motivo de ese comportamiento. Una vez reiniciado el switch quedó todo opertativo.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Ariel comenta que todavía no tiene una fecha definida de disponibilidad de capacidad.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Luego de una larga discusión respecto a las capacidades disponibles y contratadas en los tres carrier. Se concluye que se debe definir las capacidades necesario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a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la fecha. Por lo que se debe actualizar la planilla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con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las capacidades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necesitadas por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cada uno.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Teniendo en cuenta que se dispone 10 Gbps de CLARO, 10 Gbps de Netrópolys-TASA, 40 Gbps de San Juan Innova, ademas Netrópolys dispone por su cuenta con 10 Gbps de TASA mas 10 Gbps de Lumen. Por lo tanto, todos los que están traficando actualmente y los que lo harán en el futuro (GPS y otros) deben actualizar la planilla contemplando estas capacidades disponibles.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FECHA DE PRÓXIMA REUNIÓN: 10 de agosto de 2023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, a las 9:0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8 -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/>
        <w:t>Juan Carlos dej</w:t>
      </w:r>
      <w:r>
        <w:rPr>
          <w:rFonts w:eastAsia="Calibri" w:cs="DejaVu Sans"/>
          <w:color w:val="auto"/>
          <w:kern w:val="0"/>
          <w:sz w:val="22"/>
          <w:szCs w:val="22"/>
          <w:lang w:val="es-AR" w:eastAsia="en-US" w:bidi="ar-SA"/>
        </w:rPr>
        <w:t xml:space="preserve">ó un audio donde comenta el estado de los CDN. Desde la semana pasada está funcionando en RC el cache de Apple y también </w:t>
      </w:r>
      <w:r>
        <w:rPr>
          <w:rFonts w:eastAsia="Calibri" w:cs="DejaVu Sans"/>
          <w:color w:val="auto"/>
          <w:kern w:val="0"/>
          <w:sz w:val="22"/>
          <w:szCs w:val="22"/>
          <w:lang w:val="es-AR" w:eastAsia="en-US" w:bidi="ar-SA"/>
        </w:rPr>
        <w:t xml:space="preserve">Valves </w:t>
      </w:r>
      <w:r>
        <w:rPr>
          <w:rFonts w:eastAsia="Calibri" w:cs="DejaVu Sans"/>
          <w:color w:val="auto"/>
          <w:kern w:val="0"/>
          <w:sz w:val="22"/>
          <w:szCs w:val="22"/>
          <w:lang w:val="es-AR" w:eastAsia="en-US" w:bidi="ar-SA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2048</TotalTime>
  <Application>LibreOffice/7.3.7.2$Linux_X86_64 LibreOffice_project/30$Build-2</Application>
  <AppVersion>15.0000</AppVersion>
  <Pages>4</Pages>
  <Words>653</Words>
  <Characters>3235</Characters>
  <CharactersWithSpaces>3754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2023-07-21T12:08:43Z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