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ACTA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01 de diciembre de 2023</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60" w:type="dxa"/>
        <w:jc w:val="left"/>
        <w:tblInd w:w="118" w:type="dxa"/>
        <w:tblLayout w:type="fixed"/>
        <w:tblCellMar>
          <w:top w:w="0" w:type="dxa"/>
          <w:left w:w="60" w:type="dxa"/>
          <w:bottom w:w="0" w:type="dxa"/>
          <w:right w:w="70" w:type="dxa"/>
        </w:tblCellMar>
        <w:tblLook w:val="04a0" w:noHBand="0" w:noVBand="1" w:firstColumn="1" w:lastRow="0" w:lastColumn="0" w:firstRow="1"/>
      </w:tblPr>
      <w:tblGrid>
        <w:gridCol w:w="1245"/>
        <w:gridCol w:w="1360"/>
        <w:gridCol w:w="3123"/>
        <w:gridCol w:w="1831"/>
      </w:tblGrid>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NOMBRE</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APELLIDO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Presentes</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Hernan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Bourdieu</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Ariel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Passarelli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González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Ricardo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Goldberg</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Guillen</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GPS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Gastón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Pechieu</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Iván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Gutiérrez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Carrizo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Emanuel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Raúl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Aprea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Rubén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Atampiz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Roberto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Agüero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Alejandro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Cuadra</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David</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Vega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Nicolas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Vallejo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Fabián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Aguilera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Hugo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Leiria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Martinez</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Sebastián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Sánchez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Julio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Nostray</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Catalá</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Puyuta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hanging="360"/>
        <w:rPr/>
      </w:pPr>
      <w:r>
        <w:rPr>
          <w:rFonts w:eastAsia="Times New Roman" w:cs="Times New Roman" w:ascii="Times New Roman" w:hAnsi="Times New Roman"/>
          <w:b/>
          <w:bCs/>
          <w:sz w:val="24"/>
          <w:szCs w:val="24"/>
          <w:lang w:eastAsia="es-AR"/>
        </w:rPr>
        <w:tab/>
        <w:t xml:space="preserve">1.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Style w:val="EnlacedeInternet"/>
            <w:rFonts w:eastAsia="Times New Roman" w:cs="Times New Roman" w:ascii="Times New Roman" w:hAnsi="Times New Roman"/>
            <w:color w:val="0000FF"/>
            <w:sz w:val="24"/>
            <w:szCs w:val="24"/>
            <w:lang w:eastAsia="es-AR"/>
          </w:rPr>
          <w:t>ixpsanjuan@listas.cabase.org.ar</w:t>
        </w:r>
      </w:hyperlink>
      <w:r>
        <w:rPr>
          <w:rFonts w:eastAsia="Times New Roman" w:cs="Times New Roman" w:ascii="Times New Roman" w:hAnsi="Times New Roman"/>
          <w:sz w:val="24"/>
          <w:szCs w:val="24"/>
          <w:lang w:eastAsia="es-AR"/>
        </w:rPr>
        <w:t xml:space="preserve"> :  </w:t>
      </w:r>
      <w:r>
        <w:rPr>
          <w:rFonts w:eastAsia="Times New Roman" w:cs="Times New Roman" w:ascii="Times New Roman" w:hAnsi="Times New Roman"/>
          <w:sz w:val="24"/>
          <w:szCs w:val="24"/>
          <w:lang w:eastAsia="es-AR"/>
        </w:rPr>
        <w:t>01</w:t>
      </w:r>
      <w:r>
        <w:rPr>
          <w:rFonts w:eastAsia="Times New Roman" w:cs="Times New Roman" w:ascii="Times New Roman" w:hAnsi="Times New Roman"/>
          <w:sz w:val="24"/>
          <w:szCs w:val="24"/>
          <w:lang w:eastAsia="es-AR"/>
        </w:rPr>
        <w:t xml:space="preserve"> de </w:t>
      </w:r>
      <w:r>
        <w:rPr>
          <w:rFonts w:eastAsia="Times New Roman" w:cs="Times New Roman" w:ascii="Times New Roman" w:hAnsi="Times New Roman"/>
          <w:sz w:val="24"/>
          <w:szCs w:val="24"/>
          <w:lang w:eastAsia="es-AR"/>
        </w:rPr>
        <w:t>diciembre</w:t>
      </w:r>
      <w:r>
        <w:rPr>
          <w:rFonts w:eastAsia="Times New Roman" w:cs="Times New Roman" w:ascii="Times New Roman" w:hAnsi="Times New Roman"/>
          <w:sz w:val="24"/>
          <w:szCs w:val="24"/>
          <w:lang w:eastAsia="es-AR"/>
        </w:rPr>
        <w:t xml:space="preserve"> de 2023</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2. Administración: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Sigue la migración del sistema de facturas:</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Informe financiero al 13/12/2023</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Caja:  </w:t>
      </w:r>
      <w:r>
        <w:rPr>
          <w:rFonts w:eastAsia="Times New Roman" w:cs="Times New Roman" w:ascii="Times New Roman" w:hAnsi="Times New Roman"/>
          <w:color w:val="C9211E"/>
          <w:sz w:val="24"/>
          <w:szCs w:val="24"/>
          <w:lang w:eastAsia="es-AR"/>
        </w:rPr>
        <w:t>$ -384.610,54</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Deuda Cta. Cte. al 13/12: $ 716.969,18</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Juan Carlos comenta que hay un nuevo contador en CABASE y se est</w:t>
      </w:r>
      <w:r>
        <w:rPr>
          <w:rFonts w:eastAsia="Times New Roman" w:cs="Times New Roman" w:ascii="Times New Roman" w:hAnsi="Times New Roman"/>
          <w:color w:val="000000"/>
          <w:kern w:val="0"/>
          <w:sz w:val="24"/>
          <w:szCs w:val="24"/>
          <w:lang w:val="es-AR" w:eastAsia="es-AR" w:bidi="ar-SA"/>
        </w:rPr>
        <w:t>á ordenando la administración con un nuevo sistema que permite llevar mas al día el estado de los IXP</w:t>
      </w:r>
    </w:p>
    <w:p>
      <w:pPr>
        <w:pStyle w:val="Normal"/>
        <w:spacing w:lineRule="auto" w:line="240"/>
        <w:rPr>
          <w:rFonts w:ascii="Times New Roman" w:hAnsi="Times New Roman" w:eastAsia="Times New Roman" w:cs="Times New Roman"/>
          <w:color w:val="000000"/>
          <w:sz w:val="24"/>
          <w:szCs w:val="24"/>
          <w:lang w:eastAsia="es-AR"/>
        </w:rPr>
      </w:pPr>
      <w: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rPr>
          <w:b w:val="false"/>
          <w:b w:val="false"/>
          <w:bCs w:val="false"/>
        </w:rPr>
      </w:pPr>
      <w:r>
        <w:rPr>
          <w:rFonts w:eastAsia="Times New Roman" w:cs="Times New Roman" w:ascii="Times New Roman" w:hAnsi="Times New Roman"/>
          <w:b w:val="false"/>
          <w:bCs w:val="false"/>
          <w:sz w:val="24"/>
          <w:szCs w:val="24"/>
          <w:lang w:eastAsia="es-AR"/>
        </w:rPr>
        <w:t>sin novedades</w:t>
      </w:r>
    </w:p>
    <w:p>
      <w:pPr>
        <w:pStyle w:val="Normal"/>
        <w:spacing w:lineRule="auto" w:line="240" w:before="280" w:after="280"/>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280" w:after="280"/>
        <w:rPr>
          <w:b w:val="false"/>
          <w:b w:val="false"/>
          <w:bCs w:val="false"/>
        </w:rPr>
      </w:pPr>
      <w:r>
        <w:rPr>
          <w:rFonts w:eastAsia="Times New Roman" w:cs="Times New Roman" w:ascii="Times New Roman" w:hAnsi="Times New Roman"/>
          <w:b w:val="false"/>
          <w:bCs w:val="false"/>
          <w:sz w:val="24"/>
          <w:szCs w:val="24"/>
          <w:lang w:eastAsia="es-AR"/>
        </w:rPr>
        <w:t>Alejandro comenta que est</w:t>
      </w:r>
      <w:r>
        <w:rPr>
          <w:rFonts w:eastAsia="Times New Roman" w:cs="Times New Roman" w:ascii="Times New Roman" w:hAnsi="Times New Roman"/>
          <w:b w:val="false"/>
          <w:bCs w:val="false"/>
          <w:color w:val="auto"/>
          <w:kern w:val="0"/>
          <w:sz w:val="24"/>
          <w:szCs w:val="24"/>
          <w:lang w:val="es-AR" w:eastAsia="es-AR" w:bidi="ar-SA"/>
          <w14:ligatures w14:val="none"/>
        </w:rPr>
        <w:t>á probando unos SFP de 10Gbps para conectar el CDN de Facebook de GPS. No tiene noticias sobre el cambio de las baterías de la UPS</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auto"/>
          <w:kern w:val="0"/>
          <w:sz w:val="24"/>
          <w:szCs w:val="24"/>
          <w:lang w:val="es-AR" w:eastAsia="es-AR" w:bidi="ar-SA"/>
          <w14:ligatures w14:val="none"/>
        </w:rPr>
        <w:t xml:space="preserve">Miguel comenta que sería recomendable analizar la alternativa del cambio de UPS por otra de mayor potencia y con capacidad de monitoreo. </w:t>
      </w:r>
    </w:p>
    <w:p>
      <w:pPr>
        <w:pStyle w:val="Normal"/>
        <w:spacing w:lineRule="auto" w:line="240" w:before="280" w:after="280"/>
        <w:rPr>
          <w:b/>
          <w:b/>
          <w:bCs/>
        </w:rPr>
      </w:pPr>
      <w:r>
        <w:rPr>
          <w:rFonts w:eastAsia="Times New Roman" w:cs="Times New Roman" w:ascii="Times New Roman" w:hAnsi="Times New Roman"/>
          <w:b/>
          <w:bCs/>
          <w:sz w:val="24"/>
          <w:szCs w:val="24"/>
          <w:lang w:eastAsia="es-AR"/>
        </w:rPr>
        <w:t>5- STATUS DE CONEXIONES DE LOS MIEMBROS DEL IXP</w:t>
      </w:r>
    </w:p>
    <w:p>
      <w:pPr>
        <w:pStyle w:val="Normal"/>
        <w:spacing w:lineRule="auto" w:line="240" w:before="280" w:after="280"/>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Ivan comenta sobre la situación de San Juan Innova, hubo cambio de autoridades muy intempestivamente y no tienen conocimiento del IXP y su función. Ante la consulta sobre la firma de los nuevos contratos, todos los ISP presentes y la UNSJ informamos que se firmaron los contratos nuevos que entran en vigencia a partir de enero de 2024, algunos lo enviaron digital y otros digital y físico. Propone invitar a una reunión para informar la función del IXP y ver en que estado está la situación del servicio. SJI tiene deudas con Telefónica y con CABASE</w:t>
      </w:r>
    </w:p>
    <w:p>
      <w:pPr>
        <w:pStyle w:val="Normal"/>
        <w:spacing w:lineRule="auto" w:line="240" w:before="280" w:after="280"/>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Las nuevas autoridades son:</w:t>
      </w:r>
    </w:p>
    <w:p>
      <w:pPr>
        <w:pStyle w:val="Normal"/>
        <w:spacing w:lineRule="auto" w:line="240" w:before="0" w:after="0"/>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Presidente: Patricio Gutierrez</w:t>
      </w:r>
    </w:p>
    <w:p>
      <w:pPr>
        <w:pStyle w:val="Normal"/>
        <w:spacing w:lineRule="auto" w:line="240" w:before="0" w:after="0"/>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Op. Técnica: Mauricio Aubone</w:t>
      </w:r>
    </w:p>
    <w:p>
      <w:pPr>
        <w:pStyle w:val="Normal"/>
        <w:spacing w:lineRule="auto" w:line="240" w:before="0" w:after="0"/>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Administrativo: Sebastián De Cara</w:t>
      </w:r>
    </w:p>
    <w:p>
      <w:pPr>
        <w:pStyle w:val="Normal"/>
        <w:spacing w:lineRule="auto" w:line="240" w:before="0" w:after="0"/>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Síndico: Rodolfo Yanzón</w:t>
      </w:r>
    </w:p>
    <w:p>
      <w:pPr>
        <w:pStyle w:val="Normal"/>
        <w:spacing w:lineRule="auto" w:line="240" w:before="280" w:after="280"/>
        <w:rPr>
          <w:b/>
          <w:b/>
          <w:bCs/>
        </w:rPr>
      </w:pPr>
      <w:r>
        <w:rPr>
          <w:rFonts w:eastAsia="Times New Roman" w:cs="Times New Roman" w:ascii="Times New Roman" w:hAnsi="Times New Roman"/>
          <w:b/>
          <w:bCs/>
          <w:sz w:val="24"/>
          <w:szCs w:val="24"/>
          <w:lang w:eastAsia="es-AR"/>
        </w:rPr>
        <w:t>6- ALTAS, BAJAS Y MODIFICACIONES</w:t>
      </w:r>
    </w:p>
    <w:p>
      <w:pPr>
        <w:pStyle w:val="Normal"/>
        <w:spacing w:lineRule="auto" w:line="240" w:before="280" w:after="280"/>
        <w:rPr>
          <w:b w:val="false"/>
          <w:b w:val="false"/>
          <w:bCs w:val="false"/>
        </w:rPr>
      </w:pPr>
      <w:r>
        <w:rPr>
          <w:rFonts w:eastAsia="Times New Roman" w:cs="Times New Roman" w:ascii="Times New Roman" w:hAnsi="Times New Roman"/>
          <w:b w:val="false"/>
          <w:bCs w:val="false"/>
          <w:sz w:val="24"/>
          <w:szCs w:val="24"/>
          <w:lang w:eastAsia="es-AR"/>
        </w:rPr>
        <w:t>Sergio Aprea informa que el mantiene sus conexiones 10+10 y los 10Gbps de Netro</w:t>
      </w:r>
      <w:r>
        <w:rPr>
          <w:rFonts w:eastAsia="Times New Roman" w:cs="Times New Roman" w:ascii="Times New Roman" w:hAnsi="Times New Roman"/>
          <w:b w:val="false"/>
          <w:bCs w:val="false"/>
          <w:color w:val="auto"/>
          <w:kern w:val="0"/>
          <w:sz w:val="24"/>
          <w:szCs w:val="24"/>
          <w:lang w:val="es-AR" w:eastAsia="es-AR" w:bidi="ar-SA"/>
          <w14:ligatures w14:val="none"/>
        </w:rPr>
        <w:t>polys-Telefónica serán prestados por SJI-Telefónica</w:t>
      </w:r>
    </w:p>
    <w:p>
      <w:pPr>
        <w:pStyle w:val="Normal"/>
        <w:spacing w:lineRule="auto" w:line="240" w:before="280" w:after="280"/>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000000"/>
          <w:sz w:val="24"/>
          <w:szCs w:val="24"/>
          <w:lang w:eastAsia="es-AR"/>
        </w:rPr>
        <w:t xml:space="preserve">Fecha próxima reunión </w:t>
      </w:r>
      <w:r>
        <w:rPr>
          <w:rFonts w:eastAsia="Times New Roman" w:cs="Times New Roman" w:ascii="Times New Roman" w:hAnsi="Times New Roman"/>
          <w:b/>
          <w:bCs/>
          <w:color w:val="000000"/>
          <w:sz w:val="24"/>
          <w:szCs w:val="24"/>
          <w:lang w:eastAsia="es-AR"/>
        </w:rPr>
        <w:t>jueves 08 de febrero de 2024 9:30 am</w:t>
      </w:r>
    </w:p>
    <w:p>
      <w:pPr>
        <w:pStyle w:val="Normal"/>
        <w:spacing w:lineRule="auto" w:line="240" w:before="280" w:after="280"/>
        <w:rPr>
          <w:b w:val="false"/>
          <w:b w:val="false"/>
          <w:bCs w:val="false"/>
        </w:rPr>
      </w:pPr>
      <w:r>
        <w:rPr>
          <w:rFonts w:eastAsia="Times New Roman" w:cs="Times New Roman" w:ascii="Times New Roman" w:hAnsi="Times New Roman"/>
          <w:b w:val="false"/>
          <w:bCs w:val="false"/>
          <w:color w:val="000000"/>
          <w:sz w:val="24"/>
          <w:szCs w:val="24"/>
          <w:lang w:eastAsia="es-AR"/>
        </w:rPr>
        <w:t>Si hace falta coordinar una reuni</w:t>
      </w:r>
      <w:r>
        <w:rPr>
          <w:rFonts w:eastAsia="Times New Roman" w:cs="Times New Roman" w:ascii="Times New Roman" w:hAnsi="Times New Roman"/>
          <w:b w:val="false"/>
          <w:bCs w:val="false"/>
          <w:color w:val="000000"/>
          <w:kern w:val="0"/>
          <w:sz w:val="24"/>
          <w:szCs w:val="24"/>
          <w:lang w:val="es-AR" w:eastAsia="es-AR" w:bidi="ar-SA"/>
        </w:rPr>
        <w:t>ón anterior a esta fecha en función de la reunión con SJI</w:t>
      </w:r>
    </w:p>
    <w:p>
      <w:pPr>
        <w:pStyle w:val="Normal"/>
        <w:spacing w:lineRule="auto" w:line="240" w:before="280" w:after="280"/>
        <w:rPr>
          <w:b/>
          <w:b/>
          <w:bCs/>
        </w:rPr>
      </w:pPr>
      <w:r>
        <w:rPr>
          <w:rFonts w:eastAsia="Times New Roman" w:cs="Times New Roman" w:ascii="Times New Roman" w:hAnsi="Times New Roman"/>
          <w:b/>
          <w:bCs/>
          <w:sz w:val="24"/>
          <w:szCs w:val="24"/>
          <w:lang w:eastAsia="es-AR"/>
        </w:rPr>
        <w:t>8 - TEMAS VARIOS</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Juan Carlos comenta que se espera la derogación del DNU 690 no se sabe los tiempo. También hay cambios en las Importaciones y se pueden acelerar los tiempos de la implementación del CDN</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 xml:space="preserve">Ivan comenta que hubo una reunión con personal del Poder Judicial de San Juan, exponen voluntad de conexión al IXP. No tienen recursos de LACNIC pero quieren hacer una prueba de concepto para ver si sus sistemas sirven para el funcionamiento. </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t>Juan Carlos le explicó a Raúl Rodriguez como es la relación con la cámara CABASE.</w:t>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p>
      <w:pPr>
        <w:pStyle w:val="Normal"/>
        <w:rPr>
          <w:rFonts w:ascii="Times New Roman" w:hAnsi="Times New Roman" w:eastAsia="Times New Roman" w:cs="Times New Roman"/>
          <w:b w:val="false"/>
          <w:b w:val="false"/>
          <w:bCs w:val="false"/>
          <w:color w:val="auto"/>
          <w:kern w:val="0"/>
          <w:sz w:val="24"/>
          <w:szCs w:val="24"/>
          <w:lang w:val="es-AR" w:eastAsia="es-AR" w:bidi="ar-SA"/>
          <w14:ligatures w14:val="none"/>
        </w:rPr>
      </w:pPr>
      <w:r>
        <w:rPr>
          <w:rFonts w:eastAsia="Times New Roman" w:cs="Times New Roman" w:ascii="Times New Roman" w:hAnsi="Times New Roman"/>
          <w:b w:val="false"/>
          <w:bCs w:val="false"/>
          <w:color w:val="auto"/>
          <w:kern w:val="0"/>
          <w:sz w:val="24"/>
          <w:szCs w:val="24"/>
          <w:lang w:val="es-AR" w:eastAsia="es-AR" w:bidi="ar-SA"/>
          <w14:ligatures w14:val="none"/>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A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67f"/>
    <w:pPr>
      <w:widowControl/>
      <w:suppressAutoHyphens w:val="true"/>
      <w:bidi w:val="0"/>
      <w:spacing w:lineRule="auto" w:line="252" w:before="0" w:after="0"/>
      <w:jc w:val="left"/>
    </w:pPr>
    <w:rPr>
      <w:rFonts w:ascii="Calibri" w:hAnsi="Calibri" w:eastAsia="Calibri" w:cs="DejaVu Sans"/>
      <w:color w:val="auto"/>
      <w:kern w:val="0"/>
      <w:sz w:val="22"/>
      <w:szCs w:val="22"/>
      <w:lang w:val="es-AR" w:eastAsia="en-US" w:bidi="ar-SA"/>
      <w14:ligatures w14:val="none"/>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semiHidden/>
    <w:unhideWhenUsed/>
    <w:rsid w:val="00aa167f"/>
    <w:rPr>
      <w:color w:val="0563C1" w:themeColor="hyperlink"/>
      <w:u w:val="single"/>
    </w:rPr>
  </w:style>
  <w:style w:type="character" w:styleId="TextoindependienteCar" w:customStyle="1">
    <w:name w:val="Texto independiente Car"/>
    <w:basedOn w:val="DefaultParagraphFont"/>
    <w:semiHidden/>
    <w:qFormat/>
    <w:rsid w:val="00aa167f"/>
    <w:rPr>
      <w:rFonts w:ascii="Calibri" w:hAnsi="Calibri" w:eastAsia="Calibri" w:cs="DejaVu Sans"/>
      <w:kern w:val="0"/>
      <w14:ligatures w14:val="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semiHidden/>
    <w:unhideWhenUsed/>
    <w:rsid w:val="00aa167f"/>
    <w:pPr>
      <w:spacing w:lineRule="auto" w:line="276"/>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ontenidodelatabla" w:customStyle="1">
    <w:name w:val="Contenido de la tabla"/>
    <w:basedOn w:val="Normal"/>
    <w:qFormat/>
    <w:rsid w:val="00aa167f"/>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2842</TotalTime>
  <Application>LibreOffice/7.3.7.2$Linux_X86_64 LibreOffice_project/30$Build-2</Application>
  <AppVersion>15.0000</AppVersion>
  <Pages>4</Pages>
  <Words>627</Words>
  <Characters>3171</Characters>
  <CharactersWithSpaces>3659</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2023-11-29T15:27:00Z</dcterms:created>
  <dc:creator>Alejandro Cuadra</dc:creator>
  <dc:description/>
  <dc:language>es-AR</dc:language>
  <cp:lastModifiedBy/>
  <dcterms:modified xsi:type="dcterms:W3CDTF">2023-12-28T09:53:21Z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