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w:t>
      </w:r>
      <w:r>
        <w:rPr>
          <w:rFonts w:eastAsia="Times New Roman" w:cs="Times New Roman" w:ascii="Times New Roman" w:hAnsi="Times New Roman"/>
          <w:sz w:val="20"/>
          <w:szCs w:val="20"/>
          <w:lang w:eastAsia="es-AR"/>
        </w:rPr>
        <w:t>7</w:t>
      </w:r>
      <w:r>
        <w:rPr>
          <w:rFonts w:eastAsia="Times New Roman" w:cs="Times New Roman" w:ascii="Times New Roman" w:hAnsi="Times New Roman"/>
          <w:sz w:val="20"/>
          <w:szCs w:val="20"/>
          <w:lang w:eastAsia="es-AR"/>
        </w:rPr>
        <w:t xml:space="preserve"> de </w:t>
      </w:r>
      <w:r>
        <w:rPr>
          <w:rFonts w:eastAsia="Times New Roman" w:cs="Times New Roman" w:ascii="Times New Roman" w:hAnsi="Times New Roman"/>
          <w:sz w:val="20"/>
          <w:szCs w:val="20"/>
          <w:lang w:eastAsia="es-AR"/>
        </w:rPr>
        <w:t>marzo</w:t>
      </w:r>
      <w:r>
        <w:rPr>
          <w:rFonts w:eastAsia="Times New Roman" w:cs="Times New Roman" w:ascii="Times New Roman" w:hAnsi="Times New Roman"/>
          <w:sz w:val="20"/>
          <w:szCs w:val="20"/>
          <w:lang w:eastAsia="es-AR"/>
        </w:rPr>
        <w:t xml:space="preserve">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w:t>
      </w:r>
      <w:r>
        <w:rPr>
          <w:rFonts w:eastAsia="Times New Roman" w:cs="Times New Roman" w:ascii="Times New Roman" w:hAnsi="Times New Roman"/>
          <w:sz w:val="24"/>
          <w:szCs w:val="24"/>
          <w:lang w:eastAsia="es-AR"/>
        </w:rPr>
        <w:t>16</w:t>
      </w:r>
      <w:r>
        <w:rPr>
          <w:rFonts w:eastAsia="Times New Roman" w:cs="Times New Roman" w:ascii="Times New Roman" w:hAnsi="Times New Roman"/>
          <w:sz w:val="24"/>
          <w:szCs w:val="24"/>
          <w:lang w:eastAsia="es-AR"/>
        </w:rPr>
        <w:t xml:space="preserve"> de </w:t>
      </w:r>
      <w:r>
        <w:rPr>
          <w:rFonts w:eastAsia="Times New Roman" w:cs="Times New Roman" w:ascii="Times New Roman" w:hAnsi="Times New Roman"/>
          <w:sz w:val="24"/>
          <w:szCs w:val="24"/>
          <w:lang w:eastAsia="es-AR"/>
        </w:rPr>
        <w:t>febrero</w:t>
      </w:r>
      <w:r>
        <w:rPr>
          <w:rFonts w:eastAsia="Times New Roman" w:cs="Times New Roman" w:ascii="Times New Roman" w:hAnsi="Times New Roman"/>
          <w:sz w:val="24"/>
          <w:szCs w:val="24"/>
          <w:lang w:eastAsia="es-AR"/>
        </w:rPr>
        <w:t xml:space="preserve"> de 2024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06/0</w:t>
      </w:r>
      <w:r>
        <w:rPr>
          <w:rFonts w:eastAsia="Times New Roman" w:cs="Times New Roman" w:ascii="Times New Roman" w:hAnsi="Times New Roman"/>
          <w:color w:val="000000"/>
          <w:sz w:val="24"/>
          <w:szCs w:val="24"/>
          <w:lang w:eastAsia="es-AR"/>
        </w:rPr>
        <w:t>3</w:t>
      </w:r>
      <w:r>
        <w:rPr>
          <w:rFonts w:eastAsia="Times New Roman" w:cs="Times New Roman" w:ascii="Times New Roman" w:hAnsi="Times New Roman"/>
          <w:color w:val="000000"/>
          <w:sz w:val="24"/>
          <w:szCs w:val="24"/>
          <w:lang w:eastAsia="es-AR"/>
        </w:rPr>
        <w:t>/2024 sin informaci</w:t>
      </w:r>
      <w:r>
        <w:rPr>
          <w:rFonts w:eastAsia="Times New Roman" w:cs="Times New Roman" w:ascii="Times New Roman" w:hAnsi="Times New Roman"/>
          <w:color w:val="000000"/>
          <w:kern w:val="0"/>
          <w:sz w:val="24"/>
          <w:szCs w:val="24"/>
          <w:lang w:val="es-AR" w:eastAsia="es-AR" w:bidi="ar-SA"/>
        </w:rPr>
        <w:t>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Caja:</w:t>
      </w:r>
      <w:r>
        <w:rPr>
          <w:rFonts w:eastAsia="Times New Roman" w:cs="Times New Roman" w:ascii="Times New Roman" w:hAnsi="Times New Roman"/>
          <w:strike w:val="false"/>
          <w:dstrike w:val="false"/>
          <w:color w:val="C9211E"/>
          <w:sz w:val="24"/>
          <w:szCs w:val="24"/>
          <w:lang w:eastAsia="es-AR"/>
        </w:rPr>
        <w:t xml:space="preserve">  -$</w:t>
      </w:r>
      <w:r>
        <w:rPr>
          <w:rFonts w:eastAsia="Times New Roman" w:cs="Times New Roman" w:ascii="Times New Roman" w:hAnsi="Times New Roman"/>
          <w:strike w:val="false"/>
          <w:dstrike w:val="false"/>
          <w:color w:val="C9211E"/>
          <w:sz w:val="24"/>
          <w:szCs w:val="24"/>
          <w:lang w:eastAsia="es-AR"/>
        </w:rPr>
        <w:t>1.170.314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w:t>
      </w:r>
      <w:r>
        <w:rPr>
          <w:rFonts w:eastAsia="Times New Roman" w:cs="Times New Roman" w:ascii="Times New Roman" w:hAnsi="Times New Roman"/>
          <w:color w:val="C9211E"/>
          <w:sz w:val="24"/>
          <w:szCs w:val="24"/>
          <w:lang w:eastAsia="es-AR"/>
        </w:rPr>
        <w:t>$</w:t>
      </w:r>
      <w:r>
        <w:rPr>
          <w:rFonts w:eastAsia="Times New Roman" w:cs="Times New Roman" w:ascii="Times New Roman" w:hAnsi="Times New Roman"/>
          <w:color w:val="C9211E"/>
          <w:sz w:val="24"/>
          <w:szCs w:val="24"/>
          <w:lang w:eastAsia="es-AR"/>
        </w:rPr>
        <w:t>1.432.000</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Un miembro debe 4 facturas y otro 2. Ya están en gestión de cobrar para saldar el saldo negativo.</w:t>
      </w:r>
    </w:p>
    <w:p>
      <w:pPr>
        <w:pStyle w:val="Normal"/>
        <w:spacing w:lineRule="auto" w:line="240"/>
        <w:rPr>
          <w:rFonts w:ascii="Times New Roman" w:hAnsi="Times New Roman" w:eastAsia="Times New Roman" w:cs="Times New Roman"/>
          <w:color w:val="000000"/>
          <w:sz w:val="24"/>
          <w:szCs w:val="24"/>
          <w:lang w:eastAsia="es-AR"/>
        </w:rPr>
      </w:pPr>
      <w: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Juan Carlos comenta que ya están incorporados a la lista de mails las personas de San Juan Innova y fueron invitados por mail. Continuará el seguimiento para que se sumen a las reuniones.-</w:t>
      </w:r>
    </w:p>
    <w:p>
      <w:pPr>
        <w:pStyle w:val="Normal"/>
        <w:spacing w:lineRule="auto" w:line="240"/>
        <w:rPr>
          <w:rFonts w:ascii="Times New Roman" w:hAnsi="Times New Roman" w:eastAsia="Times New Roman" w:cs="Times New Roman"/>
          <w:color w:val="000000"/>
          <w:sz w:val="24"/>
          <w:szCs w:val="24"/>
          <w:lang w:eastAsia="es-AR"/>
        </w:rPr>
      </w:pPr>
      <w: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Juan Carlos comenta que Facebook autorizó el cache para el IXP-UAQ, en poco tiempo se recibirán los servidores. También comenta novedades y gestiones con Facebook.</w:t>
      </w:r>
    </w:p>
    <w:p>
      <w:pPr>
        <w:pStyle w:val="Normal"/>
        <w:spacing w:lineRule="auto" w:line="240"/>
        <w:rPr>
          <w:rFonts w:ascii="Times New Roman" w:hAnsi="Times New Roman" w:eastAsia="Times New Roman" w:cs="Times New Roman"/>
          <w:color w:val="000000"/>
          <w:sz w:val="24"/>
          <w:szCs w:val="24"/>
          <w:lang w:eastAsia="es-AR"/>
        </w:rPr>
      </w:pPr>
      <w: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kern w:val="0"/>
          <w:sz w:val="24"/>
          <w:szCs w:val="24"/>
          <w:lang w:val="es-AR" w:eastAsia="es-AR" w:bidi="ar-SA"/>
        </w:rPr>
        <w:t>Ivan consulta sobre otros CDN y Juan Carlos comenta que se trabaja con el de AKAMAI para San Juan y se están haciendo pruebas para hacer por VLAN peering con RC para el acceso al cache de Microsotf.</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b/>
          <w:bCs/>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Alejandro comenta el tema de la UPS, se aconseja a partir de una cierto tamaño de IXP utilizar dos UPS conectado las fuentes redundantes a UPS distintas. Para el consumo actual la UPS está bien, la sugerencia es otra UPS rackeable de 6Kva para esta configuración. Se deja pendiente a la espera de una estabilidad en los precios. </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Alejando cometa sobre el enlace de CLARO, como se procede con el equipamiento. Ariel comenta que</w:t>
      </w:r>
      <w:r>
        <w:rPr>
          <w:rFonts w:eastAsia="Calibri" w:cs="DejaVu Sans"/>
          <w:b w:val="false"/>
          <w:bCs w:val="false"/>
          <w:color w:val="auto"/>
          <w:kern w:val="0"/>
          <w:sz w:val="22"/>
          <w:szCs w:val="22"/>
          <w:lang w:val="es-AR" w:eastAsia="en-US" w:bidi="ar-SA"/>
          <w14:ligatures w14:val="none"/>
        </w:rPr>
        <w:t xml:space="preserve"> generalmente se retiran, este caso particular consultará y se analizarán la posibilidad de dejarlos.</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 xml:space="preserve">Sergio Aprea ofrece al mismo precio </w:t>
      </w:r>
      <w:r>
        <w:rPr>
          <w:rFonts w:eastAsia="Calibri" w:cs="DejaVu Sans"/>
          <w:b w:val="false"/>
          <w:bCs w:val="false"/>
          <w:color w:val="auto"/>
          <w:kern w:val="0"/>
          <w:sz w:val="22"/>
          <w:szCs w:val="22"/>
          <w:lang w:val="es-AR" w:eastAsia="en-US" w:bidi="ar-SA"/>
          <w14:ligatures w14:val="none"/>
        </w:rPr>
        <w:t xml:space="preserve">que SJI </w:t>
      </w:r>
      <w:r>
        <w:rPr>
          <w:rFonts w:eastAsia="Calibri" w:cs="DejaVu Sans"/>
          <w:b w:val="false"/>
          <w:bCs w:val="false"/>
          <w:color w:val="auto"/>
          <w:kern w:val="0"/>
          <w:sz w:val="22"/>
          <w:szCs w:val="22"/>
          <w:lang w:val="es-AR" w:eastAsia="en-US" w:bidi="ar-SA"/>
          <w14:ligatures w14:val="none"/>
        </w:rPr>
        <w:t>el servicio de Netropolys para carga de cache para tener un backup. Es una decisión que deberá tomar la mesa.</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Se observa que se está llegando a la saturación del enlace de SJI y hay que actualizar los contratos a la realidad.</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 xml:space="preserve">Miguel </w:t>
      </w:r>
      <w:r>
        <w:rPr>
          <w:rFonts w:eastAsia="Calibri" w:cs="DejaVu Sans"/>
          <w:b w:val="false"/>
          <w:bCs w:val="false"/>
          <w:color w:val="auto"/>
          <w:kern w:val="0"/>
          <w:sz w:val="22"/>
          <w:szCs w:val="22"/>
          <w:lang w:val="es-AR" w:eastAsia="en-US" w:bidi="ar-SA"/>
          <w14:ligatures w14:val="none"/>
        </w:rPr>
        <w:t xml:space="preserve">Morandi </w:t>
      </w:r>
      <w:r>
        <w:rPr>
          <w:rFonts w:eastAsia="Calibri" w:cs="DejaVu Sans"/>
          <w:b w:val="false"/>
          <w:bCs w:val="false"/>
          <w:color w:val="auto"/>
          <w:kern w:val="0"/>
          <w:sz w:val="22"/>
          <w:szCs w:val="22"/>
          <w:lang w:val="es-AR" w:eastAsia="en-US" w:bidi="ar-SA"/>
          <w14:ligatures w14:val="none"/>
        </w:rPr>
        <w:t xml:space="preserve">comenta sobre los cortes de energía. Fueron dos cortes prolongados en la línea de media tensión. Esto repercute en gastos de combustible en el grupo, que fue aportado por la UNSJ en el primer corte y en el segundo en forma personal esperando que se reconozca el gasto. Por tal motivo se solicita a la mesa una aporte para </w:t>
      </w:r>
      <w:r>
        <w:rPr>
          <w:rFonts w:eastAsia="Calibri" w:cs="DejaVu Sans"/>
          <w:b w:val="false"/>
          <w:bCs w:val="false"/>
          <w:color w:val="auto"/>
          <w:kern w:val="0"/>
          <w:sz w:val="22"/>
          <w:szCs w:val="22"/>
          <w:lang w:val="es-AR" w:eastAsia="en-US" w:bidi="ar-SA"/>
          <w14:ligatures w14:val="none"/>
        </w:rPr>
        <w:t>aumentar la reserva de combustible. Se acuerda en que se presente la factura a CABASE como gasto del IXP-UAQ.</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 xml:space="preserve">Juan Carlos que en otros IXP hacen un aporte extra de un punto NAP por miembro como fondo de reserva secundario para absorber este tipo de gastos. Se acuerda en formalizar este aporte de un punto NAP </w:t>
      </w:r>
      <w:r>
        <w:rPr>
          <w:rFonts w:eastAsia="Calibri" w:cs="DejaVu Sans"/>
          <w:b w:val="false"/>
          <w:bCs w:val="false"/>
          <w:color w:val="auto"/>
          <w:kern w:val="0"/>
          <w:sz w:val="22"/>
          <w:szCs w:val="22"/>
          <w:lang w:val="es-AR" w:eastAsia="en-US" w:bidi="ar-SA"/>
          <w14:ligatures w14:val="none"/>
        </w:rPr>
        <w:t>por miembro por un tiempo de seis meses a contar a partir de abril hasta septiembre inclusive.</w:t>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b w:val="false"/>
          <w:b w:val="false"/>
          <w:bCs w:val="false"/>
        </w:rPr>
      </w:pPr>
      <w:r>
        <w:rPr>
          <w:rFonts w:eastAsia="Calibri" w:cs="DejaVu Sans" w:ascii="Times New Roman" w:hAnsi="Times New Roman"/>
          <w:b w:val="false"/>
          <w:bCs w:val="false"/>
          <w:color w:val="auto"/>
          <w:kern w:val="0"/>
          <w:sz w:val="22"/>
          <w:szCs w:val="22"/>
          <w:lang w:val="es-AR" w:eastAsia="en-US" w:bidi="ar-SA"/>
          <w14:ligatures w14:val="none"/>
        </w:rPr>
        <w:t>sin novedades</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Juan Carlos comenta que se contact</w:t>
      </w:r>
      <w:r>
        <w:rPr>
          <w:rFonts w:eastAsia="Calibri" w:cs="DejaVu Sans"/>
          <w:b w:val="false"/>
          <w:bCs w:val="false"/>
          <w:color w:val="auto"/>
          <w:kern w:val="0"/>
          <w:sz w:val="22"/>
          <w:szCs w:val="22"/>
          <w:lang w:val="es-AR" w:eastAsia="en-US" w:bidi="ar-SA"/>
          <w14:ligatures w14:val="none"/>
        </w:rPr>
        <w:t>ó la gente de SmartNet Sebastían Acuña, se asoció a CABASE y estaba en contacto con otros en San Juan, por motivos económicos y de logística no ha podido avanzar y queda pendiente.</w:t>
      </w:r>
    </w:p>
    <w:p>
      <w:pPr>
        <w:pStyle w:val="Normal"/>
        <w:spacing w:lineRule="auto" w:line="240" w:before="280" w:after="280"/>
        <w:rPr>
          <w:b w:val="false"/>
          <w:b w:val="false"/>
          <w:bCs w:val="false"/>
        </w:rPr>
      </w:pPr>
      <w:r>
        <w:rPr>
          <w:rFonts w:eastAsia="Calibri" w:cs="DejaVu Sans"/>
          <w:b w:val="false"/>
          <w:bCs w:val="false"/>
          <w:color w:val="auto"/>
          <w:kern w:val="0"/>
          <w:sz w:val="22"/>
          <w:szCs w:val="22"/>
          <w:lang w:val="es-AR" w:eastAsia="en-US" w:bidi="ar-SA"/>
          <w14:ligatures w14:val="none"/>
        </w:rPr>
        <w:t>Sin novedades del Poder Judicial de la provincia.</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 xml:space="preserve">jueves </w:t>
      </w:r>
      <w:r>
        <w:rPr>
          <w:rFonts w:eastAsia="Times New Roman" w:cs="Times New Roman" w:ascii="Times New Roman" w:hAnsi="Times New Roman"/>
          <w:b/>
          <w:bCs/>
          <w:color w:val="000000"/>
          <w:sz w:val="24"/>
          <w:szCs w:val="24"/>
          <w:lang w:eastAsia="es-AR"/>
        </w:rPr>
        <w:t>11</w:t>
      </w:r>
      <w:r>
        <w:rPr>
          <w:rFonts w:eastAsia="Times New Roman" w:cs="Times New Roman" w:ascii="Times New Roman" w:hAnsi="Times New Roman"/>
          <w:b/>
          <w:bCs/>
          <w:color w:val="000000"/>
          <w:sz w:val="24"/>
          <w:szCs w:val="24"/>
          <w:lang w:eastAsia="es-AR"/>
        </w:rPr>
        <w:t xml:space="preserve"> de </w:t>
      </w:r>
      <w:r>
        <w:rPr>
          <w:rFonts w:eastAsia="Times New Roman" w:cs="Times New Roman" w:ascii="Times New Roman" w:hAnsi="Times New Roman"/>
          <w:b/>
          <w:bCs/>
          <w:color w:val="000000"/>
          <w:sz w:val="24"/>
          <w:szCs w:val="24"/>
          <w:lang w:eastAsia="es-AR"/>
        </w:rPr>
        <w:t>abril</w:t>
      </w:r>
      <w:r>
        <w:rPr>
          <w:rFonts w:eastAsia="Times New Roman" w:cs="Times New Roman" w:ascii="Times New Roman" w:hAnsi="Times New Roman"/>
          <w:b/>
          <w:bCs/>
          <w:color w:val="000000"/>
          <w:sz w:val="24"/>
          <w:szCs w:val="24"/>
          <w:lang w:eastAsia="es-AR"/>
        </w:rPr>
        <w:t xml:space="preserve"> de 2024 9:30 am</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Juan Carlos cometa :</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Jueves y Viernes próximo se realiza en Córdoba el NPLAY.</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Reunión General de IXP, CABASE está trabajando con la UNLP en un estudio de como impacta en la carga impositiva la composición de los precios de los abonos de los ISP, considerando todo el país. La idea es presentárselo al gobierno para ver como mejorar la competitividad de las empresas.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Desde unos años en CABASE se trabaja en un proyecto TelXP, sería un servicio de telefonía IP utilizando la portabilidad numérica y brindar este servicio. Ignacio Riveros está liderando este proyecto y está disponible para consultas.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2881</TotalTime>
  <Application>LibreOffice/7.3.7.2$Linux_X86_64 LibreOffice_project/30$Build-2</Application>
  <AppVersion>15.0000</AppVersion>
  <Pages>5</Pages>
  <Words>833</Words>
  <Characters>4115</Characters>
  <CharactersWithSpaces>4811</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2024-03-08T12:24:26Z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