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color w:val="002060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0"/>
          <w:szCs w:val="20"/>
          <w:lang w:eastAsia="es-AR"/>
        </w:rPr>
        <w:t>ACTA CONFECCIONADA POR PARTE DEL COORDINADOR TÉCNICO DEL IXP CABASE TITULAR O ALTERNO (EN SU AUSENCIA): Alejandro Cuadra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DEL NAP: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SUBCOMISIÓN ADMINISTRADORA DEL IXP/ NAP CABASE REGIONAL San Juan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TRES LETRAS QUE IDENTIFICAN AL IXP/NAP UAQ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 LA REUNIÓN: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FECHA: DÍA 02 de mayo de 2024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560" w:type="dxa"/>
        <w:jc w:val="left"/>
        <w:tblInd w:w="118" w:type="dxa"/>
        <w:tblLayout w:type="fixed"/>
        <w:tblCellMar>
          <w:top w:w="0" w:type="dxa"/>
          <w:left w:w="6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245"/>
        <w:gridCol w:w="1360"/>
        <w:gridCol w:w="3123"/>
        <w:gridCol w:w="1831"/>
      </w:tblGrid>
      <w:tr>
        <w:trPr>
          <w:trHeight w:val="300" w:hRule="atLeast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>NOMBRE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>APELLIDO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>RAZÓN SOCIAL A LA QUE REPRESENTA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>Presentes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Juan C.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Marquez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Ernesto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Golom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b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CABASE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Andrés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Pugawko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Facundo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bookmarkStart w:id="0" w:name="__DdeLink__265_3581157589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</w:t>
            </w:r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aselles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On Power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Hernan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Bourdieu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Ariel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Passarelli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Carlos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González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Victor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Romero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Ricardo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Goldberg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XF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759" w:hRule="atLeast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Carlos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Guillen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GPS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759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Gastón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Pechieu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NetLink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Iván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Gutiérrez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Facundo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Carrizo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Emanuel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Cortez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Raúl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Cortez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ZETRO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Sergio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Aprea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Rubén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Atampiz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Roberto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Agüero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Alejandro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Cuadra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Técnico NAP 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David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Vega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I-TIC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Nicolas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Vallejo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Fabián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Aguilera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GEO FIBER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Hugo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Leiria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GEO FIBER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Ivan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Silva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Geo FIBER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Victor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Martinez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Sebastián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Sánchez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Julio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Nostray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AustralNet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Sergio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Catalá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Puyuta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689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Mauro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>
                <w:rFonts w:ascii="Sans Serif" w:hAnsi="Sans Serif"/>
                <w:sz w:val="21"/>
              </w:rPr>
            </w:pPr>
            <w:r>
              <w:rPr>
                <w:rFonts w:ascii="Sans Serif" w:hAnsi="Sans Serif"/>
                <w:sz w:val="21"/>
              </w:rPr>
              <w:t>Ortega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>
                <w:rFonts w:ascii="Sans Serif" w:hAnsi="Sans Serif"/>
                <w:sz w:val="21"/>
              </w:rPr>
            </w:pPr>
            <w:r>
              <w:rPr>
                <w:rFonts w:ascii="Sans Serif" w:hAnsi="Sans Serif"/>
                <w:sz w:val="21"/>
              </w:rPr>
              <w:t>San Juan Innova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689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>
                <w:rFonts w:ascii="Sans Serif" w:hAnsi="Sans Serif"/>
                <w:sz w:val="21"/>
              </w:rPr>
              <w:t>Mauricio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>
                <w:rFonts w:ascii="Sans Serif" w:hAnsi="Sans Serif"/>
                <w:sz w:val="21"/>
              </w:rPr>
            </w:pPr>
            <w:r>
              <w:rPr>
                <w:rFonts w:ascii="Sans Serif" w:hAnsi="Sans Serif"/>
                <w:sz w:val="21"/>
              </w:rPr>
              <w:t>Aubone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>
                <w:rFonts w:ascii="Sans Serif" w:hAnsi="Sans Serif"/>
                <w:sz w:val="21"/>
              </w:rPr>
            </w:pPr>
            <w:r>
              <w:rPr>
                <w:rFonts w:ascii="Sans Serif" w:hAnsi="Sans Serif"/>
                <w:sz w:val="21"/>
              </w:rPr>
              <w:t>San Juan Innova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>
                <w:rFonts w:ascii="Sans Serif" w:hAnsi="Sans Serif"/>
                <w:sz w:val="21"/>
              </w:rPr>
            </w:pPr>
            <w:r>
              <w:rPr>
                <w:rFonts w:ascii="Sans Serif" w:hAnsi="Sans Serif"/>
                <w:sz w:val="21"/>
              </w:rPr>
              <w:t>Sebastián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>
                <w:rFonts w:ascii="Sans Serif" w:hAnsi="Sans Serif"/>
                <w:sz w:val="21"/>
              </w:rPr>
            </w:pPr>
            <w:r>
              <w:rPr>
                <w:rFonts w:ascii="Sans Serif" w:hAnsi="Sans Serif"/>
                <w:sz w:val="21"/>
              </w:rPr>
              <w:t>De Cara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>
                <w:rFonts w:ascii="Sans Serif" w:hAnsi="Sans Serif"/>
                <w:sz w:val="21"/>
              </w:rPr>
            </w:pPr>
            <w:r>
              <w:rPr>
                <w:rFonts w:ascii="Sans Serif" w:hAnsi="Sans Serif"/>
                <w:sz w:val="21"/>
              </w:rPr>
              <w:t>de San Juan Innova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>
                <w:rFonts w:ascii="Sans Serif" w:hAnsi="Sans Serif"/>
                <w:sz w:val="21"/>
              </w:rPr>
            </w:pPr>
            <w:r>
              <w:rPr>
                <w:rFonts w:ascii="Sans Serif" w:hAnsi="Sans Serif"/>
                <w:sz w:val="21"/>
              </w:rPr>
              <w:t>Marcela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>
                <w:rFonts w:ascii="Sans Serif" w:hAnsi="Sans Serif"/>
                <w:sz w:val="21"/>
              </w:rPr>
            </w:pPr>
            <w:r>
              <w:rPr>
                <w:rFonts w:ascii="Sans Serif" w:hAnsi="Sans Serif"/>
                <w:sz w:val="21"/>
              </w:rPr>
              <w:t>Medina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>
                <w:rFonts w:ascii="Sans Serif" w:hAnsi="Sans Serif"/>
                <w:sz w:val="21"/>
              </w:rPr>
            </w:pPr>
            <w:r>
              <w:rPr>
                <w:rFonts w:ascii="Sans Serif" w:hAnsi="Sans Serif"/>
                <w:sz w:val="21"/>
              </w:rPr>
              <w:t>de San Juan Innova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</w:tbl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TEMARIO: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1- ACTA ANTERIOR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2- ADMINISTRACIÓN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3- COMPRAS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4- STATUS DE CONEXIONES DEL IXP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7- FECHA DE LA PRÓXIMA REUNIÓN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="280" w:after="280"/>
        <w:ind w:hanging="36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ab/>
        <w:t xml:space="preserve">1.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 DEL CORREO ELECTRÓNICO CON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EL ACTA ANTERIOR CIRCULADA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 a la lista del IXP UAQ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ab/>
      </w:r>
      <w:hyperlink r:id="rId2" w:tgtFrame="Este enlace externo se abrirá en una nueva ventana">
        <w:r>
          <w:rPr>
            <w:rStyle w:val="EnlacedeInternet"/>
            <w:rFonts w:eastAsia="Times New Roman" w:cs="Times New Roman" w:ascii="Times New Roman" w:hAnsi="Times New Roman"/>
            <w:color w:val="0000FF"/>
            <w:sz w:val="24"/>
            <w:szCs w:val="24"/>
            <w:lang w:eastAsia="es-AR"/>
          </w:rPr>
          <w:t>ixpsanjuan@listas.cabase.org.ar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:  11 de abril de 2024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2. Administración: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Sigue la migración del sistema de facturas: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 xml:space="preserve">Informe financiero al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30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/04/2024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ab/>
        <w:t>- Caja:</w:t>
      </w:r>
      <w:r>
        <w:rPr>
          <w:rFonts w:eastAsia="Times New Roman" w:cs="Times New Roman" w:ascii="Times New Roman" w:hAnsi="Times New Roman"/>
          <w:strike w:val="false"/>
          <w:dstrike w:val="false"/>
          <w:color w:val="C9211E"/>
          <w:sz w:val="24"/>
          <w:szCs w:val="24"/>
          <w:lang w:eastAsia="es-AR"/>
        </w:rPr>
        <w:t xml:space="preserve">  - $</w:t>
      </w:r>
      <w:r>
        <w:rPr>
          <w:rFonts w:eastAsia="Times New Roman" w:cs="Times New Roman" w:ascii="Times New Roman" w:hAnsi="Times New Roman"/>
          <w:strike w:val="false"/>
          <w:dstrike w:val="false"/>
          <w:color w:val="C9211E"/>
          <w:sz w:val="24"/>
          <w:szCs w:val="24"/>
          <w:lang w:eastAsia="es-AR"/>
        </w:rPr>
        <w:t>29.605,-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ab/>
        <w:t xml:space="preserve">- Deuda Cta. Cte.: </w:t>
      </w:r>
      <w:r>
        <w:rPr>
          <w:rFonts w:eastAsia="Times New Roman" w:cs="Times New Roman" w:ascii="Times New Roman" w:hAnsi="Times New Roman"/>
          <w:color w:val="C9211E"/>
          <w:sz w:val="24"/>
          <w:szCs w:val="24"/>
          <w:lang w:eastAsia="es-AR"/>
        </w:rPr>
        <w:t>$1.</w:t>
      </w:r>
      <w:r>
        <w:rPr>
          <w:rFonts w:eastAsia="Times New Roman" w:cs="Times New Roman" w:ascii="Times New Roman" w:hAnsi="Times New Roman"/>
          <w:color w:val="C9211E"/>
          <w:sz w:val="24"/>
          <w:szCs w:val="24"/>
          <w:lang w:eastAsia="es-AR"/>
        </w:rPr>
        <w:t>471.000,-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Juan Carlos comenta que los primeros d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s-AR" w:eastAsia="es-AR" w:bidi="ar-SA"/>
        </w:rPr>
        <w:t>ías del mes se recibirá el listado de deudores y a partir del 15 se distribuirá el estado de la caja.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3. PRESUPUESTO APROBADOS: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4. STATUS DE CONEXIONES TÉCNICAS DEL IXP UAQ.</w:t>
      </w:r>
    </w:p>
    <w:p>
      <w:pPr>
        <w:pStyle w:val="Normal"/>
        <w:spacing w:lineRule="auto" w:line="240" w:before="280" w:after="28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es-AR"/>
        </w:rPr>
        <w:t>Juan Carlos comenta a a principios de julio se est</w:t>
      </w: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>aría recibiendo los caches de facebook en Argentina, se debe coordinar con técnica la entrega de los equipos.</w:t>
      </w:r>
    </w:p>
    <w:p>
      <w:pPr>
        <w:pStyle w:val="Normal"/>
        <w:spacing w:lineRule="auto" w:line="240" w:before="280" w:after="280"/>
        <w:rPr>
          <w:b w:val="false"/>
          <w:b w:val="false"/>
          <w:bCs w:val="false"/>
        </w:rPr>
      </w:pP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>Alejando comenta que se requieran 4 SFP+ para la conexión del cache. Se está solicitando cotización de los SFP+.</w:t>
      </w:r>
    </w:p>
    <w:p>
      <w:pPr>
        <w:pStyle w:val="Normal"/>
        <w:spacing w:lineRule="auto" w:line="240" w:before="280" w:after="280"/>
        <w:rPr>
          <w:b w:val="false"/>
          <w:b w:val="false"/>
          <w:bCs w:val="false"/>
        </w:rPr>
      </w:pP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>Gastón solicita la compra de organizadores de cables para el rack y poder ordenar los patch cord de fibra y cobre.</w:t>
      </w:r>
    </w:p>
    <w:p>
      <w:pPr>
        <w:pStyle w:val="Normal"/>
        <w:spacing w:lineRule="auto" w:line="240" w:before="280" w:after="280"/>
        <w:rPr>
          <w:b w:val="false"/>
          <w:b w:val="false"/>
          <w:bCs w:val="false"/>
        </w:rPr>
      </w:pP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 xml:space="preserve">Gastón comenta el había un problema en el </w:t>
      </w: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 xml:space="preserve">la conexión de SJI, se colocón en capa 2 y eso hizo que </w:t>
      </w: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 xml:space="preserve">el tráfico de Netropolys estaba </w:t>
      </w: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>pasando por SJI. Esto se solucionó y se recuperaron 6 Gbps, que fueron consumidos en su totalidad, llevando a la saturación del servicio de SJI.</w:t>
      </w:r>
    </w:p>
    <w:p>
      <w:pPr>
        <w:pStyle w:val="Normal"/>
        <w:spacing w:lineRule="auto" w:line="240" w:before="280" w:after="280"/>
        <w:rPr>
          <w:b w:val="false"/>
          <w:b w:val="false"/>
          <w:bCs w:val="false"/>
        </w:rPr>
      </w:pP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>Facundo comenta que estuvo en conversaciones con SJI respecto a upgrade y precios y todavía no tuvo respuesta.</w:t>
      </w:r>
    </w:p>
    <w:p>
      <w:pPr>
        <w:pStyle w:val="Normal"/>
        <w:spacing w:lineRule="auto" w:line="240" w:before="280" w:after="280"/>
        <w:rPr>
          <w:b w:val="false"/>
          <w:b w:val="false"/>
          <w:bCs w:val="false"/>
        </w:rPr>
      </w:pP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>Mauro comenta que técnicamente no habría problema de ampliar, lo que no tiene es precio.</w:t>
      </w:r>
    </w:p>
    <w:p>
      <w:pPr>
        <w:pStyle w:val="Normal"/>
        <w:spacing w:lineRule="auto" w:line="240" w:before="280" w:after="280"/>
        <w:rPr>
          <w:b w:val="false"/>
          <w:b w:val="false"/>
          <w:bCs w:val="false"/>
        </w:rPr>
      </w:pP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 xml:space="preserve">Gastón comenta que hubo un corte el día martes entre el switch de SJI y el de telefónica. Y se detectó que no hay redundancia. </w:t>
      </w:r>
    </w:p>
    <w:p>
      <w:pPr>
        <w:pStyle w:val="Normal"/>
        <w:spacing w:lineRule="auto" w:line="240" w:before="280" w:after="280"/>
        <w:rPr>
          <w:b w:val="false"/>
          <w:b w:val="false"/>
          <w:bCs w:val="false"/>
        </w:rPr>
      </w:pP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 xml:space="preserve">Maruo comenta que había un problema de patcheo y no tiene mas información sobre la redundancia. 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 w:before="280" w:after="280"/>
        <w:rPr>
          <w:rFonts w:ascii="Calibri" w:hAnsi="Calibri" w:eastAsia="Calibri" w:cs="DejaVu Sans"/>
          <w:b w:val="false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</w:pP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 xml:space="preserve">Se analizara el aumento de las capacidades de cada uno de acuerdo a las posibilidades de upgrade de SJI </w:t>
      </w: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>y del informe del tráfico de Julio Policarpo que se espera recibir.</w:t>
      </w:r>
    </w:p>
    <w:p>
      <w:pPr>
        <w:pStyle w:val="Normal"/>
        <w:spacing w:lineRule="auto" w:line="240" w:before="280" w:after="280"/>
        <w:rPr>
          <w:rFonts w:ascii="Calibri" w:hAnsi="Calibri" w:eastAsia="Calibri" w:cs="DejaVu Sans"/>
          <w:b w:val="false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</w:pP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>Victor comenta que CLARO tiene disponibilidad de capacidad y el precio hasta 10 Gbps es de U$S1,- mas capacidad hay que analizar. CLARO tiene capacidad de 30 o 40 Gbps.-</w:t>
      </w:r>
    </w:p>
    <w:p>
      <w:pPr>
        <w:pStyle w:val="Normal"/>
        <w:spacing w:lineRule="auto" w:line="240" w:before="280" w:after="280"/>
        <w:rPr>
          <w:rFonts w:ascii="Calibri" w:hAnsi="Calibri" w:eastAsia="Calibri" w:cs="DejaVu Sans"/>
          <w:b w:val="false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</w:pP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 xml:space="preserve">Desde la mesa se solicita una propuesta económica por 20, 30 </w:t>
      </w: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 xml:space="preserve">o 40  </w:t>
      </w:r>
      <w:r>
        <w:rPr>
          <w:rFonts w:eastAsia="Calibri" w:cs="DejaVu Sans"/>
          <w:b w:val="false"/>
          <w:bCs w:val="false"/>
          <w:color w:val="auto"/>
          <w:kern w:val="0"/>
          <w:sz w:val="22"/>
          <w:szCs w:val="22"/>
          <w:lang w:val="es-AR" w:eastAsia="en-US" w:bidi="ar-SA"/>
          <w14:ligatures w14:val="none"/>
        </w:rPr>
        <w:t>Gbps.-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7 - REUNIÓN DE LA SUBCOMISIÓN ADMINISTRADORA DEL IXP CABASE REGIONAL UAQ: </w:t>
      </w:r>
    </w:p>
    <w:p>
      <w:pPr>
        <w:pStyle w:val="Normal"/>
        <w:spacing w:lineRule="auto" w:line="240" w:before="280" w:after="28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es-AR"/>
        </w:rPr>
        <w:t xml:space="preserve">Fecha próxima reunión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AR"/>
        </w:rPr>
        <w:t>jueves 0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AR"/>
        </w:rPr>
        <w:t>6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AR"/>
        </w:rPr>
        <w:t xml:space="preserve"> de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AR"/>
        </w:rPr>
        <w:t>junio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s-AR"/>
        </w:rPr>
        <w:t xml:space="preserve"> de 2024 9:30 am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8 - TEMAS VARIOS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es-AR" w:eastAsia="es-AR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  <w14:ligatures w14:val="none"/>
        </w:rPr>
        <w:t xml:space="preserve">Raúl Rodriguez comenta las necesidades de conectividad del poder judicial respecto a un sistema que tiene mucha influencia la latencia en la red, principalmente en los departamentos alejados, San Martín, 25 de Mayo, Valle Fértil, 9 de Julio y alguno mas. La intensión es analizar la infraestructura del IXP para solucionar este problema.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  <w14:ligatures w14:val="none"/>
        </w:rPr>
        <w:t>Esto también serviría para acceder a la mesa de entrada virtual que es de acceso público.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  <w14:ligatures w14:val="none"/>
        </w:rPr>
        <w:t xml:space="preserve">  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es-AR" w:eastAsia="es-AR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  <w14:ligatures w14:val="none"/>
        </w:rPr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es-AR" w:eastAsia="es-AR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  <w14:ligatures w14:val="none"/>
        </w:rPr>
        <w:t xml:space="preserve">Se comentan algunas soluciones y se recomienda que tramiten ante LACNIC recursos propios para poder conectarse al IXP y pueden utilizar los ISP que están conectados al IXP para reducir la latencia. 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es-AR" w:eastAsia="es-AR" w:bidi="ar-SA"/>
          <w14:ligatures w14:val="none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733742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3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ans Serif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167f"/>
    <w:pPr>
      <w:widowControl/>
      <w:suppressAutoHyphens w:val="true"/>
      <w:bidi w:val="0"/>
      <w:spacing w:lineRule="auto" w:line="252" w:before="0" w:after="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AR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semiHidden/>
    <w:unhideWhenUsed/>
    <w:rsid w:val="00aa167f"/>
    <w:rPr>
      <w:color w:val="0563C1" w:themeColor="hyperlink"/>
      <w:u w:val="single"/>
    </w:rPr>
  </w:style>
  <w:style w:type="character" w:styleId="TextoindependienteCar" w:customStyle="1">
    <w:name w:val="Texto independiente Car"/>
    <w:basedOn w:val="DefaultParagraphFont"/>
    <w:semiHidden/>
    <w:qFormat/>
    <w:rsid w:val="00aa167f"/>
    <w:rPr>
      <w:rFonts w:ascii="Calibri" w:hAnsi="Calibri" w:eastAsia="Calibri" w:cs="DejaVu Sans"/>
      <w:kern w:val="0"/>
      <w14:ligatures w14:val="non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link w:val="TextoindependienteCar"/>
    <w:semiHidden/>
    <w:unhideWhenUsed/>
    <w:rsid w:val="00aa167f"/>
    <w:pPr>
      <w:spacing w:lineRule="auto" w:line="276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a167f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ebmail.unsj.edu.ar/src/compose.php?send_to=ixpsanjuan@listas.cabase.org.ar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2965</TotalTime>
  <Application>LibreOffice/7.3.7.2$Linux_X86_64 LibreOffice_project/30$Build-2</Application>
  <AppVersion>15.0000</AppVersion>
  <Pages>6</Pages>
  <Words>726</Words>
  <Characters>3571</Characters>
  <CharactersWithSpaces>4146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2023-11-29T15:27:00Z</dcterms:created>
  <dc:creator>Alejandro Cuadra</dc:creator>
  <dc:description/>
  <dc:language>es-AR</dc:language>
  <cp:lastModifiedBy/>
  <dcterms:modified xsi:type="dcterms:W3CDTF">2024-06-07T12:30:57Z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