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280" w:after="280"/>
        <w:rPr>
          <w:rFonts w:ascii="Times New Roman" w:hAnsi="Times New Roman" w:eastAsia="Times New Roman" w:cs="Times New Roman"/>
          <w:b/>
          <w:b/>
          <w:bCs/>
          <w:color w:val="002060"/>
          <w:sz w:val="20"/>
          <w:szCs w:val="20"/>
          <w:lang w:eastAsia="es-AR"/>
        </w:rPr>
      </w:pPr>
      <w:r>
        <w:rPr>
          <w:rFonts w:eastAsia="Times New Roman" w:cs="Times New Roman" w:ascii="Times New Roman" w:hAnsi="Times New Roman"/>
          <w:b/>
          <w:bCs/>
          <w:color w:val="002060"/>
          <w:sz w:val="20"/>
          <w:szCs w:val="20"/>
          <w:lang w:eastAsia="es-AR"/>
        </w:rPr>
        <w:t>ACTA CONFECCIONADA POR PARTE DEL COORDINADOR TÉCNICO DEL IXP CABASE TITULAR O ALTERNO (EN SU AUSENCIA): Alejandro Cuadra</w:t>
      </w:r>
    </w:p>
    <w:p>
      <w:pPr>
        <w:pStyle w:val="Normal"/>
        <w:spacing w:lineRule="auto" w:line="240" w:before="280" w:after="280"/>
        <w:rPr/>
      </w:pPr>
      <w:r>
        <w:rPr>
          <w:rFonts w:eastAsia="Times New Roman" w:cs="Times New Roman" w:ascii="Times New Roman" w:hAnsi="Times New Roman"/>
          <w:b/>
          <w:bCs/>
          <w:sz w:val="20"/>
          <w:szCs w:val="20"/>
          <w:lang w:eastAsia="es-AR"/>
        </w:rPr>
        <w:t xml:space="preserve">DATOS DEL NAP: </w:t>
      </w:r>
      <w:r>
        <w:rPr>
          <w:rFonts w:eastAsia="Times New Roman" w:cs="Times New Roman" w:ascii="Times New Roman" w:hAnsi="Times New Roman"/>
          <w:sz w:val="20"/>
          <w:szCs w:val="20"/>
          <w:lang w:eastAsia="es-AR"/>
        </w:rPr>
        <w:t>SUBCOMISIÓN ADMINISTRADORA DEL IXP/ NAP CABASE REGIONAL San Juan</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sz w:val="20"/>
          <w:szCs w:val="20"/>
          <w:lang w:eastAsia="es-AR"/>
        </w:rPr>
        <w:t>TRES LETRAS QUE IDENTIFICAN AL IXP/NAP UAQ</w:t>
      </w:r>
    </w:p>
    <w:p>
      <w:pPr>
        <w:pStyle w:val="Normal"/>
        <w:spacing w:lineRule="auto" w:line="240" w:before="280" w:after="280"/>
        <w:rPr>
          <w:rFonts w:ascii="Times New Roman" w:hAnsi="Times New Roman" w:eastAsia="Times New Roman" w:cs="Times New Roman"/>
          <w:sz w:val="20"/>
          <w:szCs w:val="20"/>
          <w:lang w:eastAsia="es-AR"/>
        </w:rPr>
      </w:pPr>
      <w:r>
        <w:rPr>
          <w:rFonts w:eastAsia="Times New Roman" w:cs="Times New Roman" w:ascii="Times New Roman" w:hAnsi="Times New Roman"/>
          <w:b/>
          <w:bCs/>
          <w:sz w:val="20"/>
          <w:szCs w:val="20"/>
          <w:lang w:eastAsia="es-AR"/>
        </w:rPr>
        <w:t xml:space="preserve">DATOS DE LA REUNIÓN: </w:t>
      </w:r>
      <w:r>
        <w:rPr>
          <w:rFonts w:eastAsia="Times New Roman" w:cs="Times New Roman" w:ascii="Times New Roman" w:hAnsi="Times New Roman"/>
          <w:sz w:val="20"/>
          <w:szCs w:val="20"/>
          <w:lang w:eastAsia="es-AR"/>
        </w:rPr>
        <w:t>FECHA: DÍA 06 de junio de 2024</w:t>
      </w:r>
    </w:p>
    <w:p>
      <w:pPr>
        <w:pStyle w:val="Normal"/>
        <w:spacing w:lineRule="auto" w:line="240" w:before="280" w:after="280"/>
        <w:rPr>
          <w:rFonts w:ascii="Times New Roman" w:hAnsi="Times New Roman" w:eastAsia="Times New Roman" w:cs="Times New Roman"/>
          <w:b/>
          <w:b/>
          <w:bCs/>
          <w:sz w:val="20"/>
          <w:szCs w:val="20"/>
          <w:lang w:eastAsia="es-AR"/>
        </w:rPr>
      </w:pPr>
      <w:r>
        <w:rPr>
          <w:rFonts w:eastAsia="Times New Roman" w:cs="Times New Roman" w:ascii="Times New Roman" w:hAnsi="Times New Roman"/>
          <w:b/>
          <w:bCs/>
          <w:sz w:val="20"/>
          <w:szCs w:val="20"/>
          <w:lang w:eastAsia="es-AR"/>
        </w:rPr>
        <w:t>PRESENTES EN LA REUNIÓN:</w:t>
      </w:r>
    </w:p>
    <w:tbl>
      <w:tblPr>
        <w:tblW w:w="7560" w:type="dxa"/>
        <w:jc w:val="left"/>
        <w:tblInd w:w="118" w:type="dxa"/>
        <w:tblLayout w:type="fixed"/>
        <w:tblCellMar>
          <w:top w:w="0" w:type="dxa"/>
          <w:left w:w="60" w:type="dxa"/>
          <w:bottom w:w="0" w:type="dxa"/>
          <w:right w:w="70" w:type="dxa"/>
        </w:tblCellMar>
        <w:tblLook w:val="04a0" w:noHBand="0" w:noVBand="1" w:firstColumn="1" w:lastRow="0" w:lastColumn="0" w:firstRow="1"/>
      </w:tblPr>
      <w:tblGrid>
        <w:gridCol w:w="1245"/>
        <w:gridCol w:w="1360"/>
        <w:gridCol w:w="3123"/>
        <w:gridCol w:w="1831"/>
      </w:tblGrid>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NOMBRE</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lang w:eastAsia="es-ES"/>
              </w:rPr>
            </w:pPr>
            <w:r>
              <w:rPr>
                <w:rFonts w:eastAsia="Times New Roman" w:cs="Times New Roman" w:ascii="Times New Roman" w:hAnsi="Times New Roman"/>
                <w:color w:val="000000"/>
                <w:sz w:val="24"/>
                <w:szCs w:val="24"/>
                <w:lang w:eastAsia="es-ES"/>
              </w:rPr>
              <w:t>APELLIDO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RAZÓN SOCIAL A LA QUE REPRESENTA</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Presentes</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Juan C.</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Marquez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Ernesto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Golom</w:t>
            </w:r>
            <w:r>
              <w:rPr>
                <w:rFonts w:eastAsia="Times New Roman" w:cs="Times New Roman" w:ascii="Times New Roman" w:hAnsi="Times New Roman"/>
                <w:sz w:val="24"/>
                <w:szCs w:val="24"/>
                <w:lang w:eastAsia="es-AR"/>
              </w:rPr>
              <w:t>b</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Andrés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Pugawko</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t>CABASE</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bookmarkStart w:id="0" w:name="__DdeLink__265_35811575891"/>
            <w:r>
              <w:rPr>
                <w:rFonts w:eastAsia="Times New Roman" w:cs="Times New Roman" w:ascii="Times New Roman" w:hAnsi="Times New Roman"/>
                <w:sz w:val="24"/>
                <w:szCs w:val="24"/>
                <w:lang w:eastAsia="es-AR"/>
              </w:rPr>
              <w:t>C</w:t>
            </w:r>
            <w:bookmarkEnd w:id="0"/>
            <w:r>
              <w:rPr>
                <w:rFonts w:eastAsia="Times New Roman" w:cs="Times New Roman" w:ascii="Times New Roman" w:hAnsi="Times New Roman"/>
                <w:sz w:val="24"/>
                <w:szCs w:val="24"/>
                <w:lang w:eastAsia="es-AR"/>
              </w:rPr>
              <w:t>aselles</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Hernan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Bourdieu</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Ariel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Passarelli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González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Romero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t>CLARO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Miguel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Morandi</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color w:val="000000"/>
                <w:sz w:val="24"/>
                <w:szCs w:val="24"/>
                <w:lang w:val="en-US" w:eastAsia="es-ES"/>
              </w:rPr>
            </w:pPr>
            <w:r>
              <w:rPr>
                <w:rFonts w:eastAsia="Times New Roman" w:cs="Times New Roman" w:ascii="Times New Roman" w:hAnsi="Times New Roman"/>
                <w:color w:val="000000"/>
                <w:sz w:val="24"/>
                <w:szCs w:val="24"/>
                <w:lang w:val="en-US" w:eastAsia="es-ES"/>
              </w:rPr>
              <w:t>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Ricardo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Goldberg</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XF</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759"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Carlos</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Guillen</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GPS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759"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Gastón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Pechieu</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NetLink</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Iván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Gutiérrez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Facundo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Carrizo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Emanuel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Intersat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Raúl</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Cortez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ZETRO</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Aprea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Rubén</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Atampiz</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Roberto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Agüero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Alejandro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Cuadra</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Técnico NAP UNSJ</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David</w:t>
            </w:r>
          </w:p>
        </w:tc>
        <w:tc>
          <w:tcPr>
            <w:tcW w:w="1360"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Vega</w:t>
            </w:r>
          </w:p>
        </w:tc>
        <w:tc>
          <w:tcPr>
            <w:tcW w:w="3123"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I-TIC</w:t>
            </w:r>
          </w:p>
        </w:tc>
        <w:tc>
          <w:tcPr>
            <w:tcW w:w="1831" w:type="dxa"/>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Nicolas</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Vallejo</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Fabián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Aguilera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Hugo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Leiria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Ivan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Silva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Geo FIBER</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Victor</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Martinez</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INTERREDES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Sebastián</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Sánchez</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Netrópolys</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Julio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Nostray</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AustralNet</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Sergio</w:t>
            </w:r>
          </w:p>
        </w:tc>
        <w:tc>
          <w:tcPr>
            <w:tcW w:w="1360"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Catalá</w:t>
            </w:r>
          </w:p>
        </w:tc>
        <w:tc>
          <w:tcPr>
            <w:tcW w:w="3123"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pPr>
            <w:r>
              <w:rPr/>
              <w:t>Puyuta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Mauro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Ortega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rFonts w:ascii="Sans Serif" w:hAnsi="Sans Serif"/>
                <w:sz w:val="21"/>
              </w:rPr>
              <w:t>Mauricio</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Aubone</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689"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pPr>
            <w:r>
              <w:rPr/>
              <w:t>Martín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Raschi</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x</w:t>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Sebastián</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Cara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r>
        <w:trPr>
          <w:trHeight w:val="300" w:hRule="atLeast"/>
        </w:trPr>
        <w:tc>
          <w:tcPr>
            <w:tcW w:w="1245"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Marcela</w:t>
            </w:r>
          </w:p>
        </w:tc>
        <w:tc>
          <w:tcPr>
            <w:tcW w:w="1360"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Medina</w:t>
            </w:r>
          </w:p>
        </w:tc>
        <w:tc>
          <w:tcPr>
            <w:tcW w:w="3123" w:type="dxa"/>
            <w:tcBorders>
              <w:left w:val="single" w:sz="8" w:space="0" w:color="000000"/>
              <w:bottom w:val="single" w:sz="8" w:space="0" w:color="000000"/>
              <w:right w:val="single" w:sz="8" w:space="0" w:color="000000"/>
            </w:tcBorders>
            <w:vAlign w:val="bottom"/>
          </w:tcPr>
          <w:p>
            <w:pPr>
              <w:pStyle w:val="Cuerpodetexto"/>
              <w:widowControl w:val="false"/>
              <w:spacing w:lineRule="auto" w:line="240" w:before="280" w:after="280"/>
              <w:rPr>
                <w:rFonts w:ascii="Sans Serif" w:hAnsi="Sans Serif"/>
                <w:sz w:val="21"/>
              </w:rPr>
            </w:pPr>
            <w:r>
              <w:rPr>
                <w:rFonts w:ascii="Sans Serif" w:hAnsi="Sans Serif"/>
                <w:sz w:val="21"/>
              </w:rPr>
              <w:t>de San Juan Innova</w:t>
            </w:r>
          </w:p>
        </w:tc>
        <w:tc>
          <w:tcPr>
            <w:tcW w:w="1831" w:type="dxa"/>
            <w:tcBorders>
              <w:left w:val="single" w:sz="8" w:space="0" w:color="000000"/>
              <w:bottom w:val="single" w:sz="8" w:space="0" w:color="000000"/>
              <w:right w:val="single" w:sz="8" w:space="0" w:color="000000"/>
            </w:tcBorders>
            <w:vAlign w:val="bottom"/>
          </w:tcPr>
          <w:p>
            <w:pPr>
              <w:pStyle w:val="Normal"/>
              <w:widowControl w:val="false"/>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tc>
      </w:tr>
    </w:tbl>
    <w:p>
      <w:pPr>
        <w:pStyle w:val="Normal"/>
        <w:spacing w:lineRule="auto" w:line="240" w:before="280" w:after="28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spacing w:lineRule="auto" w:line="240" w:before="280" w:after="280"/>
        <w:rPr/>
      </w:pPr>
      <w:r>
        <w:rPr>
          <w:rFonts w:eastAsia="Times New Roman" w:cs="Times New Roman" w:ascii="Times New Roman" w:hAnsi="Times New Roman"/>
          <w:sz w:val="24"/>
          <w:szCs w:val="24"/>
          <w:lang w:eastAsia="es-AR"/>
        </w:rPr>
        <w:t>TEMARIO:</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1- ACTA ANTERIOR</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2- ADMINISTRACIÓN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3- COMPRAS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4- STATUS DE CONEXIONES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5- STATUS DE CONEXIONES DE LOS MIEMBROS DEL IXP</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6- ALTAS, BAJAS Y MODIFICACIONES</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7- FECHA DE LA PRÓXIMA REUNIÓN</w:t>
      </w:r>
    </w:p>
    <w:p>
      <w:pPr>
        <w:pStyle w:val="Normal"/>
        <w:spacing w:lineRule="auto" w:line="24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8- TEMAS VARIOS</w:t>
      </w:r>
    </w:p>
    <w:p>
      <w:pPr>
        <w:pStyle w:val="Normal"/>
        <w:spacing w:lineRule="auto" w:line="240" w:before="280" w:after="280"/>
        <w:ind w:hanging="360"/>
        <w:rPr/>
      </w:pPr>
      <w:r>
        <w:rPr>
          <w:rFonts w:eastAsia="Times New Roman" w:cs="Times New Roman" w:ascii="Times New Roman" w:hAnsi="Times New Roman"/>
          <w:b/>
          <w:bCs/>
          <w:sz w:val="24"/>
          <w:szCs w:val="24"/>
          <w:lang w:eastAsia="es-AR"/>
        </w:rPr>
        <w:tab/>
        <w:tab/>
        <w:t xml:space="preserve">1. </w:t>
      </w:r>
      <w:r>
        <w:rPr>
          <w:rFonts w:eastAsia="Times New Roman" w:cs="Times New Roman" w:ascii="Times New Roman" w:hAnsi="Times New Roman"/>
          <w:b/>
          <w:bCs/>
          <w:sz w:val="20"/>
          <w:szCs w:val="20"/>
          <w:lang w:eastAsia="es-AR"/>
        </w:rPr>
        <w:t>FECHA DEL CORREO ELECTRÓNICO CON EL ACTA ANTERIOR CIRCULADA a la lista del IXP UAQ</w:t>
      </w:r>
    </w:p>
    <w:p>
      <w:pPr>
        <w:pStyle w:val="Normal"/>
        <w:spacing w:lineRule="auto" w:line="240" w:before="280" w:after="280"/>
        <w:rPr/>
      </w:pPr>
      <w:r>
        <w:rPr>
          <w:rFonts w:eastAsia="Times New Roman" w:cs="Times New Roman" w:ascii="Times New Roman" w:hAnsi="Times New Roman"/>
          <w:sz w:val="16"/>
          <w:szCs w:val="16"/>
          <w:lang w:eastAsia="es-AR"/>
        </w:rPr>
        <w:tab/>
      </w:r>
      <w:hyperlink r:id="rId2" w:tgtFrame="Este enlace externo se abrirá en una nueva ventana">
        <w:r>
          <w:rPr>
            <w:rStyle w:val="EnlacedeInternet"/>
            <w:rFonts w:eastAsia="Times New Roman" w:cs="Times New Roman" w:ascii="Times New Roman" w:hAnsi="Times New Roman"/>
            <w:color w:val="0000FF"/>
            <w:sz w:val="24"/>
            <w:szCs w:val="24"/>
            <w:lang w:eastAsia="es-AR"/>
          </w:rPr>
          <w:t>ixpsanjuan@listas.cabase.org.ar</w:t>
        </w:r>
      </w:hyperlink>
      <w:r>
        <w:rPr>
          <w:rFonts w:eastAsia="Times New Roman" w:cs="Times New Roman" w:ascii="Times New Roman" w:hAnsi="Times New Roman"/>
          <w:sz w:val="24"/>
          <w:szCs w:val="24"/>
          <w:lang w:eastAsia="es-AR"/>
        </w:rPr>
        <w:t xml:space="preserve"> :  03 de mayo de 2024</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2. Administración:</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Sigue la migración del sistema de facturas:</w:t>
      </w:r>
    </w:p>
    <w:p>
      <w:pPr>
        <w:pStyle w:val="Normal"/>
        <w:spacing w:lineRule="auto" w:line="240"/>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Informe financiero al 05/06/2024</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Caja:  </w:t>
      </w:r>
      <w:r>
        <w:rPr>
          <w:rFonts w:eastAsia="Times New Roman" w:cs="Times New Roman" w:ascii="Times New Roman" w:hAnsi="Times New Roman"/>
          <w:color w:val="C9211E"/>
          <w:sz w:val="24"/>
          <w:szCs w:val="24"/>
          <w:lang w:eastAsia="es-AR"/>
        </w:rPr>
        <w:t>$455.027,37</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ab/>
        <w:t xml:space="preserve">- Deuda Cta. Cte.: </w:t>
      </w:r>
      <w:r>
        <w:rPr>
          <w:rFonts w:eastAsia="Times New Roman" w:cs="Times New Roman" w:ascii="Times New Roman" w:hAnsi="Times New Roman"/>
          <w:color w:val="C9211E"/>
          <w:sz w:val="24"/>
          <w:szCs w:val="24"/>
          <w:lang w:eastAsia="es-AR"/>
        </w:rPr>
        <w:t>$2.338.541,59</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Juan Carlos comenta que los primeros días del mes se recibirá el listado de deudores y a partir del 15 se distribuirá el estado de la caja. También solicita que se cancelen las deudas para que no figuren al cierre del ejercicio.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b/>
          <w:bCs/>
          <w:sz w:val="24"/>
          <w:szCs w:val="24"/>
          <w:lang w:eastAsia="es-AR"/>
        </w:rPr>
        <w:t>3. PRESUPUESTO APROBADOS:</w:t>
      </w:r>
    </w:p>
    <w:p>
      <w:pPr>
        <w:pStyle w:val="Normal"/>
        <w:spacing w:lineRule="auto" w:line="240" w:before="280" w:after="280"/>
        <w:jc w:val="both"/>
        <w:rPr>
          <w:b/>
          <w:b/>
          <w:bCs/>
        </w:rPr>
      </w:pPr>
      <w:r>
        <w:rPr>
          <w:b/>
          <w:bCs/>
        </w:rPr>
      </w:r>
    </w:p>
    <w:p>
      <w:pPr>
        <w:pStyle w:val="Normal"/>
        <w:spacing w:lineRule="auto" w:line="240" w:before="280" w:after="280"/>
        <w:jc w:val="both"/>
        <w:rPr>
          <w:rFonts w:ascii="Times New Roman" w:hAnsi="Times New Roman" w:eastAsia="Times New Roman" w:cs="Times New Roman"/>
          <w:b/>
          <w:b/>
          <w:bCs/>
          <w:sz w:val="24"/>
          <w:szCs w:val="24"/>
          <w:lang w:eastAsia="es-AR"/>
        </w:rPr>
      </w:pPr>
      <w:r>
        <w:rPr>
          <w:rFonts w:eastAsia="Times New Roman" w:cs="Times New Roman" w:ascii="Times New Roman" w:hAnsi="Times New Roman"/>
          <w:b/>
          <w:bCs/>
          <w:sz w:val="24"/>
          <w:szCs w:val="24"/>
          <w:lang w:eastAsia="es-AR"/>
        </w:rPr>
        <w:t>4. STATUS DE CONEXIONES TÉCNICAS DEL IXP UAQ.</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Gastón comenta el estado.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Se recibió el proyecto técnico de INTERSAT del agregado de enlace de su conexión al IXP, al no haber objeciones se procederá a lo solicitado.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Netrópolys también solicitó el agregado de enlace pero no se recibió el proyecto técnico.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 xml:space="preserve">Respecto a los problemas de saturación, se logró estabilizar un poco el transporte. </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Los caché no se tiene fecha de recepción que se estima los primeros días de julio.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Respecto al switch se están haciendo muchos agregados y se completarán los puertos, se recomienda pasar a puertos de mayor capacidad en lugar de hacer agregados.</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Ricardo Goldberg pregusta por el tráfico de GPS. Gastón comenta que están desconectados. Lo que figura en el reporte son los puntos NAPs de carga de cache, no de tráfico propio.</w:t>
      </w:r>
    </w:p>
    <w:p>
      <w:pPr>
        <w:pStyle w:val="Normal"/>
        <w:spacing w:lineRule="auto" w:line="240"/>
        <w:jc w:val="both"/>
        <w:rPr>
          <w:rFonts w:ascii="Times New Roman" w:hAnsi="Times New Roman" w:eastAsia="Times New Roman" w:cs="Times New Roman"/>
          <w:color w:val="000000"/>
          <w:sz w:val="24"/>
          <w:szCs w:val="24"/>
          <w:lang w:eastAsia="es-AR"/>
        </w:rPr>
      </w:pPr>
      <w:r>
        <w:rPr>
          <w:rFonts w:eastAsia="Times New Roman" w:cs="Times New Roman" w:ascii="Times New Roman" w:hAnsi="Times New Roman"/>
          <w:color w:val="000000"/>
          <w:sz w:val="24"/>
          <w:szCs w:val="24"/>
          <w:lang w:eastAsia="es-AR"/>
        </w:rPr>
        <w:t>Mauricio cometa que se está solicitando a Telefónica un puerto más en el lado de BsAs para hacer otra cruzada con SyT y lograr la segurización completa del servicio.</w:t>
      </w:r>
    </w:p>
    <w:p>
      <w:pPr>
        <w:pStyle w:val="Normal"/>
        <w:spacing w:lineRule="auto" w:line="240" w:before="280" w:after="280"/>
        <w:jc w:val="both"/>
        <w:rPr>
          <w:b/>
          <w:b/>
          <w:bCs/>
        </w:rPr>
      </w:pPr>
      <w:r>
        <w:rPr>
          <w:rFonts w:eastAsia="Times New Roman" w:cs="Times New Roman" w:ascii="Times New Roman" w:hAnsi="Times New Roman"/>
          <w:b/>
          <w:bCs/>
          <w:sz w:val="24"/>
          <w:szCs w:val="24"/>
          <w:lang w:eastAsia="es-AR"/>
        </w:rPr>
        <w:t>5- STATUS DE CONEXIONES DE LOS MIEMBROS DEL IXP</w:t>
      </w:r>
    </w:p>
    <w:p>
      <w:pPr>
        <w:pStyle w:val="Normal"/>
        <w:spacing w:lineRule="auto" w:line="240" w:before="280" w:after="280"/>
        <w:jc w:val="both"/>
        <w:rPr/>
      </w:pPr>
      <w:r>
        <w:rPr>
          <w:rFonts w:eastAsia="Times New Roman" w:cs="Times New Roman" w:ascii="Times New Roman" w:hAnsi="Times New Roman"/>
          <w:sz w:val="24"/>
          <w:szCs w:val="24"/>
          <w:lang w:eastAsia="es-AR"/>
        </w:rPr>
        <w:t>Ariel presenta la propuesta de servicio de transporte de CLARO. La última milla del lado de San Juan, se utilizarán los 2 caminos para llegar a 20 Gbps por lo que este tramo no estará segurizad</w:t>
      </w:r>
      <w:r>
        <w:rPr>
          <w:rFonts w:eastAsia="Times New Roman" w:cs="Times New Roman" w:ascii="Times New Roman" w:hAnsi="Times New Roman"/>
          <w:kern w:val="0"/>
          <w:sz w:val="24"/>
          <w:szCs w:val="24"/>
          <w:lang w:eastAsia="es-AR"/>
          <w14:ligatures w14:val="none"/>
        </w:rPr>
        <w:t>o</w:t>
      </w:r>
      <w:r>
        <w:rPr>
          <w:rFonts w:eastAsia="Times New Roman" w:cs="Times New Roman" w:ascii="Times New Roman" w:hAnsi="Times New Roman"/>
          <w:kern w:val="0"/>
          <w:sz w:val="24"/>
          <w:szCs w:val="24"/>
          <w:shd w:fill="auto" w:val="clear"/>
          <w:lang w:eastAsia="es-AR"/>
          <w14:ligatures w14:val="none"/>
        </w:rPr>
        <w:t>. Se consiguió 20 Gbps de los cuales los pre</w:t>
      </w:r>
      <w:r>
        <w:rPr>
          <w:rFonts w:eastAsia="Times New Roman" w:cs="Times New Roman" w:ascii="Times New Roman" w:hAnsi="Times New Roman"/>
          <w:kern w:val="0"/>
          <w:sz w:val="24"/>
          <w:szCs w:val="24"/>
          <w:shd w:fill="auto" w:val="clear"/>
          <w:lang w:eastAsia="es-AR"/>
          <w14:ligatures w14:val="none"/>
        </w:rPr>
        <w:t>c</w:t>
      </w:r>
      <w:r>
        <w:rPr>
          <w:rFonts w:eastAsia="Times New Roman" w:cs="Times New Roman" w:ascii="Times New Roman" w:hAnsi="Times New Roman"/>
          <w:kern w:val="0"/>
          <w:sz w:val="24"/>
          <w:szCs w:val="24"/>
          <w:shd w:fill="auto" w:val="clear"/>
          <w:lang w:eastAsia="es-AR"/>
          <w14:ligatures w14:val="none"/>
        </w:rPr>
        <w:t>ios para dos escalas serán hasta 10 Gbps U$S1,- el mega y para 20 Gbps U$S0,8 por mega.</w:t>
      </w:r>
      <w:r>
        <w:rPr>
          <w:rFonts w:eastAsia="Times New Roman" w:cs="Times New Roman" w:ascii="Times New Roman" w:hAnsi="Times New Roman"/>
          <w:kern w:val="0"/>
          <w:sz w:val="24"/>
          <w:szCs w:val="24"/>
          <w:lang w:eastAsia="es-AR"/>
          <w14:ligatures w14:val="none"/>
        </w:rPr>
        <w:t xml:space="preserve"> Esta es la capacidad disponible hoy. Habría más capacidad, pero eso requiere cambio de equipos.</w:t>
      </w:r>
    </w:p>
    <w:p>
      <w:pPr>
        <w:pStyle w:val="Normal"/>
        <w:spacing w:lineRule="auto" w:line="240" w:before="280" w:after="280"/>
        <w:jc w:val="both"/>
        <w:rPr>
          <w:rFonts w:ascii="Times New Roman" w:hAnsi="Times New Roman" w:eastAsia="Times New Roman" w:cs="Times New Roman"/>
          <w:kern w:val="0"/>
          <w:sz w:val="24"/>
          <w:szCs w:val="24"/>
          <w:lang w:eastAsia="es-AR"/>
          <w14:ligatures w14:val="none"/>
        </w:rPr>
      </w:pPr>
      <w:r>
        <w:rPr>
          <w:rFonts w:eastAsia="Times New Roman" w:cs="Times New Roman" w:ascii="Times New Roman" w:hAnsi="Times New Roman"/>
          <w:b/>
          <w:bCs/>
          <w:kern w:val="0"/>
          <w:sz w:val="24"/>
          <w:szCs w:val="24"/>
          <w:lang w:eastAsia="es-AR"/>
          <w14:ligatures w14:val="none"/>
        </w:rPr>
        <w:t>6- ALTAS, BAJAS Y MODIFICACIONES</w:t>
      </w:r>
    </w:p>
    <w:p>
      <w:pPr>
        <w:pStyle w:val="Normal"/>
        <w:spacing w:lineRule="auto" w:line="240" w:before="280" w:after="280"/>
        <w:jc w:val="both"/>
        <w:rPr/>
      </w:pPr>
      <w:r>
        <w:rPr>
          <w:rFonts w:eastAsia="Times New Roman" w:cs="Times New Roman" w:ascii="Times New Roman" w:hAnsi="Times New Roman"/>
          <w:b/>
          <w:bCs/>
          <w:sz w:val="24"/>
          <w:szCs w:val="24"/>
          <w:lang w:eastAsia="es-AR"/>
        </w:rPr>
        <w:t xml:space="preserve">7 - REUNIÓN DE LA SUBCOMISIÓN ADMINISTRADORA DEL IXP CABASE REGIONAL UAQ: </w:t>
      </w:r>
    </w:p>
    <w:p>
      <w:pPr>
        <w:pStyle w:val="Normal"/>
        <w:spacing w:lineRule="auto" w:line="240" w:before="280" w:after="280"/>
        <w:jc w:val="both"/>
        <w:rPr/>
      </w:pPr>
      <w:r>
        <w:rPr>
          <w:rFonts w:eastAsia="Times New Roman" w:cs="Times New Roman" w:ascii="Times New Roman" w:hAnsi="Times New Roman"/>
          <w:color w:val="000000"/>
          <w:sz w:val="24"/>
          <w:szCs w:val="24"/>
          <w:lang w:eastAsia="es-AR"/>
        </w:rPr>
        <w:t xml:space="preserve">Fecha próxima reunión </w:t>
      </w:r>
      <w:r>
        <w:rPr>
          <w:rFonts w:eastAsia="Times New Roman" w:cs="Times New Roman" w:ascii="Times New Roman" w:hAnsi="Times New Roman"/>
          <w:b/>
          <w:bCs/>
          <w:color w:val="000000"/>
          <w:sz w:val="24"/>
          <w:szCs w:val="24"/>
          <w:lang w:eastAsia="es-AR"/>
        </w:rPr>
        <w:t>jueves 04 de julio de 2024 9:30 am</w:t>
      </w:r>
    </w:p>
    <w:p>
      <w:pPr>
        <w:pStyle w:val="Normal"/>
        <w:spacing w:lineRule="auto" w:line="240" w:before="280" w:after="280"/>
        <w:jc w:val="both"/>
        <w:rPr>
          <w:b/>
          <w:b/>
          <w:bCs/>
        </w:rPr>
      </w:pPr>
      <w:r>
        <w:rPr>
          <w:rFonts w:eastAsia="Times New Roman" w:cs="Times New Roman" w:ascii="Times New Roman" w:hAnsi="Times New Roman"/>
          <w:b/>
          <w:bCs/>
          <w:sz w:val="24"/>
          <w:szCs w:val="24"/>
          <w:lang w:eastAsia="es-AR"/>
        </w:rPr>
        <w:t>8 - TEMAS VARIOS</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Facundo comenta el el monitoreo que se está probando utilizando nfsen+nfinflux modificado+influxdb+grafana toma la información del nfsen y a través de grafana muestra los datos en forma granular. Se definen usuarios en grafana y cada uno puede ver la información que corresponde. Esto es solo para visualizar el tráfico individual de cada miembro.</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Martín - Mauricio comenta que la limitación de cada miembro es factible hacerla por MAC, Facundo pasó un listado de MAC para hacer esa limitación, se está haciendo una prueba con algunos miembros para limitar el tráfico a lo contratado. Ivan comenta que esto está relacionado con el mail que mandó Gastón que está en este sentido, que cada uno tenga asegurado lo que está contratando.</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Miguel Morandi comenta el caso de la UNSJ respecto al pago del excedente de lo contratado. Se acuerda que se considere no cobrar lo excedente de lo contratado ya que no es mucho y se produce en momentos de poco tráfico. Para ello SJI solicita una nota solicitando lo antes mencionado.</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 continuación, la nota solicitada.</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br/>
      </w:r>
    </w:p>
    <w:p>
      <w:pPr>
        <w:pStyle w:val="Normal"/>
        <w:jc w:val="right"/>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r>
        <w:br w:type="page"/>
      </w:r>
    </w:p>
    <w:p>
      <w:pPr>
        <w:pStyle w:val="Normal"/>
        <w:ind w:left="4956" w:hanging="0"/>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San Juan 11 de junio de 2024</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Sres. San Juan Innova</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Mauricio Aubone</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Presente.</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De nuestra mayor considerar:</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b/>
        <w:tab/>
        <w:tab/>
        <w:tab/>
        <w:tab/>
        <w:t>Los miembros del IXP-UAQ solicitan a San Juan Innova, hacer una excepción para el miembro UNSJ para no ejecutar la cláusula 15 del contrato respecto al pago del excedente del tráfico contratado bajo el procedimiento del 95%.</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b/>
        <w:tab/>
        <w:tab/>
        <w:tab/>
        <w:tab/>
        <w:t>Motiva la presente solicitud que el mencionado excedente representa un tráfico insignificante respecto a la suma contratada por parte de de todos los miembros y a que la UNSJ dispone sin costo, del lugar físico para el alojamiento del rack que contiene los equipos del IXP UAQ y además absorbe los gastos relacionados a la energía consumida, tanto de red convencional como la del grupo electrógeno que asegura la continuidad del servicio, lo que impacta en un valor tan importante como la alta disponibilidad que pretendemos todos los miembros conectados.</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ab/>
        <w:tab/>
        <w:tab/>
        <w:tab/>
        <w:tab/>
        <w:t>Descontando una respuesta favorable, aprovechamos para saludar atentamente.</w:t>
      </w:r>
    </w:p>
    <w:p>
      <w:pPr>
        <w:pStyle w:val="Normal"/>
        <w:jc w:val="both"/>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 xml:space="preserve">Facundo Caselles     </w:t>
        <w:tab/>
        <w:tab/>
        <w:tab/>
        <w:t>Ricardo Goldberg</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ON POWER</w:t>
        <w:tab/>
        <w:tab/>
        <w:tab/>
        <w:tab/>
        <w:t>XF</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Gastón Pechieu</w:t>
        <w:tab/>
        <w:tab/>
        <w:tab/>
        <w:t>Iván Gutiérrez</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NETLINK                                         INTERSAT</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Raúl Cortez</w:t>
        <w:tab/>
        <w:tab/>
        <w:tab/>
        <w:tab/>
        <w:t>Sergio Aprea</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ZETRO                                              NETROPOLYS</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David Vega</w:t>
        <w:tab/>
        <w:tab/>
        <w:tab/>
        <w:tab/>
        <w:t>Nicolás Vallejo</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I-TIC</w:t>
        <w:tab/>
        <w:tab/>
        <w:tab/>
        <w:tab/>
        <w:tab/>
        <w:t>INTERREDES</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Hugo Leiría</w:t>
        <w:tab/>
        <w:tab/>
        <w:tab/>
        <w:tab/>
        <w:t>Sergio Catalá</w:t>
      </w:r>
    </w:p>
    <w:p>
      <w:pPr>
        <w:pStyle w:val="Normal"/>
        <w:rPr>
          <w:rFonts w:ascii="Times New Roman" w:hAnsi="Times New Roman" w:eastAsia="Times New Roman" w:cs="Times New Roman"/>
          <w:sz w:val="24"/>
          <w:szCs w:val="24"/>
          <w:lang w:eastAsia="es-AR"/>
        </w:rPr>
      </w:pPr>
      <w:r>
        <w:rPr>
          <w:rFonts w:eastAsia="Times New Roman" w:cs="Times New Roman" w:ascii="Times New Roman" w:hAnsi="Times New Roman"/>
          <w:sz w:val="24"/>
          <w:szCs w:val="24"/>
          <w:lang w:eastAsia="es-AR"/>
        </w:rPr>
        <w:t>GEO FIBER</w:t>
        <w:tab/>
        <w:tab/>
        <w:tab/>
        <w:tab/>
        <w:t>PUYUTA</w:t>
      </w:r>
    </w:p>
    <w:p>
      <w:pPr>
        <w:pStyle w:val="Normal"/>
        <w:rPr>
          <w:rFonts w:ascii="Times New Roman" w:hAnsi="Times New Roman" w:eastAsia="Times New Roman" w:cs="Times New Roman"/>
          <w:sz w:val="24"/>
          <w:szCs w:val="24"/>
          <w:lang w:eastAsia="es-AR"/>
        </w:rPr>
      </w:pPr>
      <w:r>
        <w:rPr/>
      </w:r>
    </w:p>
    <w:sectPr>
      <w:type w:val="nextPage"/>
      <w:pgSz w:w="11906" w:h="16838"/>
      <w:pgMar w:left="1701" w:right="1701" w:gutter="0" w:header="0" w:top="1417" w:footer="0" w:bottom="141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variable"/>
  </w:font>
  <w:font w:name="Sans Serif">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A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67f"/>
    <w:pPr>
      <w:widowControl/>
      <w:suppressAutoHyphens w:val="true"/>
      <w:bidi w:val="0"/>
      <w:spacing w:lineRule="auto" w:line="252" w:before="0" w:after="0"/>
      <w:jc w:val="left"/>
    </w:pPr>
    <w:rPr>
      <w:rFonts w:ascii="Calibri" w:hAnsi="Calibri" w:eastAsia="Calibri" w:cs="DejaVu Sans"/>
      <w:color w:val="auto"/>
      <w:kern w:val="0"/>
      <w:sz w:val="22"/>
      <w:szCs w:val="22"/>
      <w:lang w:val="es-AR" w:eastAsia="en-US" w:bidi="ar-SA"/>
      <w14:ligatures w14:val="none"/>
    </w:rPr>
  </w:style>
  <w:style w:type="character" w:styleId="DefaultParagraphFont" w:default="1">
    <w:name w:val="Default Paragraph Font"/>
    <w:uiPriority w:val="1"/>
    <w:semiHidden/>
    <w:unhideWhenUsed/>
    <w:qFormat/>
    <w:rPr/>
  </w:style>
  <w:style w:type="character" w:styleId="EnlacedeInternet" w:customStyle="1">
    <w:name w:val="Enlace de Internet"/>
    <w:basedOn w:val="DefaultParagraphFont"/>
    <w:uiPriority w:val="99"/>
    <w:semiHidden/>
    <w:unhideWhenUsed/>
    <w:rsid w:val="00aa167f"/>
    <w:rPr>
      <w:color w:val="0563C1" w:themeColor="hyperlink"/>
      <w:u w:val="single"/>
    </w:rPr>
  </w:style>
  <w:style w:type="character" w:styleId="TextoindependienteCar" w:customStyle="1">
    <w:name w:val="Texto independiente Car"/>
    <w:basedOn w:val="DefaultParagraphFont"/>
    <w:semiHidden/>
    <w:qFormat/>
    <w:rsid w:val="00aa167f"/>
    <w:rPr>
      <w:rFonts w:ascii="Calibri" w:hAnsi="Calibri" w:eastAsia="Calibri" w:cs="DejaVu Sans"/>
      <w:kern w:val="0"/>
      <w14:ligatures w14:val="none"/>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semiHidden/>
    <w:unhideWhenUsed/>
    <w:rsid w:val="00aa167f"/>
    <w:pPr>
      <w:spacing w:lineRule="auto" w:line="276"/>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Lohit Devanagari"/>
    </w:rPr>
  </w:style>
  <w:style w:type="paragraph" w:styleId="Ttulogeneral">
    <w:name w:val="Title"/>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pPr>
      <w:suppressLineNumbers/>
      <w:spacing w:before="120" w:after="120"/>
    </w:pPr>
    <w:rPr>
      <w:rFonts w:cs="Lohit Devanagari"/>
      <w:i/>
      <w:iCs/>
      <w:sz w:val="24"/>
      <w:szCs w:val="24"/>
    </w:rPr>
  </w:style>
  <w:style w:type="paragraph" w:styleId="Contenidodelatabla" w:customStyle="1">
    <w:name w:val="Contenido de la tabla"/>
    <w:basedOn w:val="Normal"/>
    <w:qFormat/>
    <w:rsid w:val="00aa167f"/>
    <w:pPr>
      <w:suppressLineNumbers/>
    </w:pPr>
    <w:rPr/>
  </w:style>
  <w:style w:type="paragraph" w:styleId="Ttulodelatabla" w:customStyle="1">
    <w:name w:val="Título de la tabla"/>
    <w:basedOn w:val="Contenidodelatabla"/>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ebmail.unsj.edu.ar/src/compose.php?send_to=ixpsanjuan@listas.cabase.org.ar"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LibreOffice/7.3.7.2$Linux_X86_64 LibreOffice_project/30$Build-2</Application>
  <AppVersion>15.0000</AppVersion>
  <Pages>6</Pages>
  <Words>971</Words>
  <Characters>4910</Characters>
  <CharactersWithSpaces>5835</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2024-06-11T22:54:00Z</dcterms:created>
  <dc:creator>Alejandro Cuadra</dc:creator>
  <dc:description/>
  <dc:language>es-AR</dc:language>
  <cp:lastModifiedBy/>
  <dcterms:modified xsi:type="dcterms:W3CDTF">2024-06-14T08:25:10Z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