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2" w:rsidRDefault="00ED11F6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5F111C">
        <w:rPr>
          <w:rFonts w:ascii="Courier New" w:hAnsi="Courier New" w:cs="Courier New"/>
          <w:b/>
        </w:rPr>
        <w:t>REGIONAL BUENOS AIRES DEL  16-03</w:t>
      </w:r>
      <w:r w:rsidR="00C45F5C">
        <w:rPr>
          <w:rFonts w:ascii="Courier New" w:hAnsi="Courier New" w:cs="Courier New"/>
          <w:b/>
        </w:rPr>
        <w:t>-2023</w:t>
      </w: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NUEVOS</w:t>
      </w:r>
      <w:r w:rsidR="00846116">
        <w:rPr>
          <w:rFonts w:ascii="Arial" w:hAnsi="Arial" w:cs="Arial"/>
          <w:color w:val="auto"/>
        </w:rPr>
        <w:t>. Sin novedad.</w:t>
      </w:r>
    </w:p>
    <w:p w:rsidR="001F3DD2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 xml:space="preserve">BAJAS: </w:t>
      </w:r>
      <w:r w:rsidR="00846116">
        <w:rPr>
          <w:rFonts w:ascii="Arial" w:hAnsi="Arial" w:cs="Arial"/>
          <w:color w:val="auto"/>
        </w:rPr>
        <w:t>Sin novedad.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 xml:space="preserve">MODIFICACIONES: </w:t>
      </w:r>
      <w:r w:rsidR="00846116">
        <w:rPr>
          <w:rFonts w:ascii="Arial" w:hAnsi="Arial" w:cs="Arial"/>
          <w:color w:val="auto"/>
        </w:rPr>
        <w:t>Sin novedad.</w:t>
      </w:r>
    </w:p>
    <w:p w:rsidR="002458C6" w:rsidRPr="002458C6" w:rsidRDefault="00151810" w:rsidP="002458C6">
      <w:pPr>
        <w:pStyle w:val="Prrafodelista"/>
        <w:numPr>
          <w:ilvl w:val="1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C45F5C">
        <w:rPr>
          <w:rFonts w:ascii="Arial" w:hAnsi="Arial" w:cs="Arial"/>
          <w:color w:val="auto"/>
          <w:lang w:val="es-AR"/>
        </w:rPr>
        <w:t>Otros:</w:t>
      </w:r>
    </w:p>
    <w:p w:rsidR="00932BE4" w:rsidRPr="00932BE4" w:rsidRDefault="002458C6" w:rsidP="002458C6">
      <w:pPr>
        <w:pStyle w:val="Prrafodelista"/>
        <w:numPr>
          <w:ilvl w:val="3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PeeringDB</w:t>
      </w:r>
      <w:proofErr w:type="spellEnd"/>
      <w:r>
        <w:rPr>
          <w:rFonts w:ascii="Arial" w:hAnsi="Arial" w:cs="Arial"/>
          <w:color w:val="auto"/>
          <w:lang w:val="es-AR"/>
        </w:rPr>
        <w:t xml:space="preserve"> – </w:t>
      </w:r>
      <w:r w:rsidR="00846116">
        <w:rPr>
          <w:rFonts w:ascii="Arial" w:hAnsi="Arial" w:cs="Arial"/>
          <w:color w:val="auto"/>
          <w:lang w:val="es-AR"/>
        </w:rPr>
        <w:t xml:space="preserve">Status </w:t>
      </w:r>
      <w:r>
        <w:rPr>
          <w:rFonts w:ascii="Arial" w:hAnsi="Arial" w:cs="Arial"/>
          <w:color w:val="auto"/>
          <w:lang w:val="es-AR"/>
        </w:rPr>
        <w:t>CT BUE</w:t>
      </w:r>
      <w:r w:rsidR="00C9353A">
        <w:rPr>
          <w:rFonts w:ascii="Arial" w:hAnsi="Arial" w:cs="Arial"/>
          <w:color w:val="auto"/>
          <w:lang w:val="es-AR"/>
        </w:rPr>
        <w:t xml:space="preserve">. </w:t>
      </w:r>
    </w:p>
    <w:p w:rsidR="00932BE4" w:rsidRPr="00932BE4" w:rsidRDefault="00C9353A" w:rsidP="00932BE4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auto"/>
          <w:lang w:val="es-AR"/>
        </w:rPr>
        <w:t>Lumen-</w:t>
      </w:r>
      <w:proofErr w:type="spellStart"/>
      <w:r>
        <w:rPr>
          <w:rFonts w:ascii="Arial" w:hAnsi="Arial" w:cs="Arial"/>
          <w:color w:val="auto"/>
          <w:lang w:val="es-AR"/>
        </w:rPr>
        <w:t>Cyrion</w:t>
      </w:r>
      <w:proofErr w:type="spellEnd"/>
      <w:r w:rsidR="007C48AB">
        <w:rPr>
          <w:rFonts w:ascii="Arial" w:hAnsi="Arial" w:cs="Arial"/>
          <w:color w:val="auto"/>
          <w:lang w:val="es-AR"/>
        </w:rPr>
        <w:t xml:space="preserve"> sigue pendiente</w:t>
      </w:r>
      <w:r>
        <w:rPr>
          <w:rFonts w:ascii="Arial" w:hAnsi="Arial" w:cs="Arial"/>
          <w:color w:val="auto"/>
          <w:lang w:val="es-AR"/>
        </w:rPr>
        <w:t>.</w:t>
      </w:r>
      <w:r w:rsidR="00932BE4">
        <w:rPr>
          <w:rFonts w:ascii="Arial" w:hAnsi="Arial" w:cs="Arial"/>
          <w:color w:val="auto"/>
          <w:lang w:val="es-AR"/>
        </w:rPr>
        <w:t xml:space="preserve"> Se pide que Ingeniería trate de entender mejor la situación porque un miembro conectado sin un ASN sería una situación irregular.</w:t>
      </w:r>
      <w:r w:rsidR="007C48AB">
        <w:rPr>
          <w:rFonts w:ascii="Arial" w:hAnsi="Arial" w:cs="Arial"/>
          <w:color w:val="auto"/>
          <w:lang w:val="es-AR"/>
        </w:rPr>
        <w:t xml:space="preserve"> </w:t>
      </w:r>
    </w:p>
    <w:p w:rsidR="002458C6" w:rsidRPr="002458C6" w:rsidRDefault="007C48AB" w:rsidP="00932BE4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Setinc</w:t>
      </w:r>
      <w:proofErr w:type="spellEnd"/>
      <w:r>
        <w:rPr>
          <w:rFonts w:ascii="Arial" w:hAnsi="Arial" w:cs="Arial"/>
          <w:color w:val="auto"/>
          <w:lang w:val="es-AR"/>
        </w:rPr>
        <w:t xml:space="preserve"> también se está aplicando penalidades.</w:t>
      </w:r>
    </w:p>
    <w:p w:rsidR="00151810" w:rsidRDefault="002458C6" w:rsidP="002458C6">
      <w:pPr>
        <w:pStyle w:val="Prrafodelista"/>
        <w:ind w:left="1069"/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:rsidR="00A22B2A" w:rsidRPr="00846116" w:rsidRDefault="00151810" w:rsidP="00846116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7C48AB" w:rsidRDefault="00986437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CAJA: $19.606.029,66.-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</w:p>
    <w:p w:rsidR="002458C6" w:rsidRDefault="00986437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FONDO DE RESERVA UNIFICADO: $91.250.-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FONDO DE RESERVA USD: 130.421.-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PLAZO FIJO: 14.948.196,63.-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DEUDA: $14.009.071,69.-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MONICABOZZI</w:t>
      </w:r>
      <w:proofErr w:type="gramStart"/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,LAUTAROPAZ,Y.BORAGNOS</w:t>
      </w:r>
      <w:proofErr w:type="gramEnd"/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(varios meses) </w:t>
      </w:r>
      <w:r w:rsidRPr="00986437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cr/>
        <w:t>CPS COMUNICACIONES SAU (algo del mes 12, enero y febrero). $1.047.291,30.-</w:t>
      </w:r>
    </w:p>
    <w:p w:rsidR="00986437" w:rsidRDefault="00986437">
      <w:pPr>
        <w:shd w:val="clear" w:color="auto" w:fill="FFFFFF"/>
        <w:suppressAutoHyphens w:val="0"/>
        <w:spacing w:after="0" w:line="240" w:lineRule="auto"/>
        <w:ind w:left="720"/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INFRAESTRUCTURA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Cambio de Baterías – </w:t>
      </w:r>
      <w:r w:rsidR="002458C6">
        <w:rPr>
          <w:rFonts w:ascii="Arial" w:hAnsi="Arial" w:cs="Arial"/>
          <w:color w:val="auto"/>
        </w:rPr>
        <w:t>P</w:t>
      </w:r>
      <w:r w:rsidR="00616065">
        <w:rPr>
          <w:rFonts w:ascii="Arial" w:hAnsi="Arial" w:cs="Arial"/>
          <w:color w:val="auto"/>
        </w:rPr>
        <w:t>rueba de descarga.</w:t>
      </w:r>
      <w:r w:rsidR="002458C6">
        <w:rPr>
          <w:rFonts w:ascii="Arial" w:hAnsi="Arial" w:cs="Arial"/>
          <w:color w:val="auto"/>
        </w:rPr>
        <w:t xml:space="preserve"> Status </w:t>
      </w:r>
      <w:r w:rsidR="00A10B54">
        <w:rPr>
          <w:rFonts w:ascii="Arial" w:hAnsi="Arial" w:cs="Arial"/>
          <w:color w:val="auto"/>
        </w:rPr>
        <w:t>–</w:t>
      </w:r>
      <w:r w:rsidR="002458C6">
        <w:rPr>
          <w:rFonts w:ascii="Arial" w:hAnsi="Arial" w:cs="Arial"/>
          <w:color w:val="auto"/>
        </w:rPr>
        <w:t xml:space="preserve"> ATI</w:t>
      </w:r>
      <w:r w:rsidR="00A10B54">
        <w:rPr>
          <w:rFonts w:ascii="Arial" w:hAnsi="Arial" w:cs="Arial"/>
          <w:color w:val="auto"/>
        </w:rPr>
        <w:t>. Finalizado.</w:t>
      </w:r>
      <w:r w:rsidR="009925C2">
        <w:rPr>
          <w:rFonts w:ascii="Arial" w:hAnsi="Arial" w:cs="Arial"/>
          <w:color w:val="auto"/>
        </w:rPr>
        <w:t xml:space="preserve"> Próxima reunión se solicita presupuesto de extensión de autonomía para evaluar expansión.</w:t>
      </w:r>
      <w:r w:rsidR="00F82CDB">
        <w:rPr>
          <w:rFonts w:ascii="Arial" w:hAnsi="Arial" w:cs="Arial"/>
          <w:color w:val="auto"/>
        </w:rPr>
        <w:t xml:space="preserve"> Pendiente.</w:t>
      </w:r>
    </w:p>
    <w:p w:rsidR="004519E5" w:rsidRDefault="004519E5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AA adicional sala </w:t>
      </w:r>
      <w:proofErr w:type="spellStart"/>
      <w:r>
        <w:rPr>
          <w:rFonts w:ascii="Arial" w:hAnsi="Arial" w:cs="Arial"/>
          <w:color w:val="auto"/>
        </w:rPr>
        <w:t>UPSs</w:t>
      </w:r>
      <w:proofErr w:type="spellEnd"/>
      <w:r>
        <w:rPr>
          <w:rFonts w:ascii="Arial" w:hAnsi="Arial" w:cs="Arial"/>
          <w:color w:val="auto"/>
        </w:rPr>
        <w:t>. ATI explica la necesidad dado que si bien temperatura de sala, solo sube un grado con nueva UPS</w:t>
      </w:r>
      <w:r w:rsidR="00932BE4">
        <w:rPr>
          <w:rFonts w:ascii="Arial" w:hAnsi="Arial" w:cs="Arial"/>
          <w:color w:val="auto"/>
        </w:rPr>
        <w:t xml:space="preserve"> pero esta aun esta descargada. Por lo cual propone proactivamente poner Split que se anticipe a la suba en base a carga y que sirva de respaldo al Split actual. El presupuesto pasado se vio caro. Se pidió nuevo presupuesto a circular por la lista para su </w:t>
      </w:r>
      <w:proofErr w:type="spellStart"/>
      <w:r w:rsidR="00932BE4">
        <w:rPr>
          <w:rFonts w:ascii="Arial" w:hAnsi="Arial" w:cs="Arial"/>
          <w:color w:val="auto"/>
        </w:rPr>
        <w:t>aprboación</w:t>
      </w:r>
      <w:proofErr w:type="spellEnd"/>
      <w:r w:rsidR="00932BE4"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Nueva Sala:</w:t>
      </w:r>
    </w:p>
    <w:p w:rsidR="001F3DD2" w:rsidRDefault="00151810" w:rsidP="002458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Grado de avance. Status</w:t>
      </w:r>
      <w:r w:rsidR="002458C6">
        <w:rPr>
          <w:rFonts w:ascii="Arial" w:hAnsi="Arial" w:cs="Arial"/>
          <w:color w:val="auto"/>
        </w:rPr>
        <w:t xml:space="preserve"> </w:t>
      </w:r>
      <w:r w:rsidR="00397CCE">
        <w:rPr>
          <w:rFonts w:ascii="Arial" w:hAnsi="Arial" w:cs="Arial"/>
          <w:color w:val="auto"/>
        </w:rPr>
        <w:t>–</w:t>
      </w:r>
      <w:r w:rsidR="008D3EB5">
        <w:rPr>
          <w:rFonts w:ascii="Arial" w:hAnsi="Arial" w:cs="Arial"/>
          <w:color w:val="auto"/>
        </w:rPr>
        <w:t xml:space="preserve"> </w:t>
      </w:r>
      <w:r w:rsidR="002458C6">
        <w:rPr>
          <w:rFonts w:ascii="Arial" w:hAnsi="Arial" w:cs="Arial"/>
          <w:color w:val="auto"/>
        </w:rPr>
        <w:t>ATI</w:t>
      </w:r>
      <w:r w:rsidR="00397CCE">
        <w:rPr>
          <w:rFonts w:ascii="Arial" w:hAnsi="Arial" w:cs="Arial"/>
          <w:color w:val="auto"/>
        </w:rPr>
        <w:t>. Alejandro presenta. En curso tema sistema anti-incendio y control de acceso.</w:t>
      </w:r>
      <w:r w:rsidR="002A41C5">
        <w:rPr>
          <w:rFonts w:ascii="Arial" w:hAnsi="Arial" w:cs="Arial"/>
          <w:color w:val="auto"/>
        </w:rPr>
        <w:t xml:space="preserve"> Restan algunas </w:t>
      </w:r>
      <w:proofErr w:type="spellStart"/>
      <w:r w:rsidR="002A41C5">
        <w:rPr>
          <w:rFonts w:ascii="Arial" w:hAnsi="Arial" w:cs="Arial"/>
          <w:color w:val="auto"/>
        </w:rPr>
        <w:t>PDUs</w:t>
      </w:r>
      <w:proofErr w:type="spellEnd"/>
      <w:r w:rsidR="002A41C5">
        <w:rPr>
          <w:rFonts w:ascii="Arial" w:hAnsi="Arial" w:cs="Arial"/>
          <w:color w:val="auto"/>
        </w:rPr>
        <w:t>.</w:t>
      </w:r>
      <w:r w:rsidR="00CF28A2">
        <w:rPr>
          <w:rFonts w:ascii="Arial" w:hAnsi="Arial" w:cs="Arial"/>
          <w:color w:val="auto"/>
        </w:rPr>
        <w:t xml:space="preserve"> Pendiente.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cableado </w:t>
      </w:r>
      <w:proofErr w:type="spellStart"/>
      <w:r>
        <w:rPr>
          <w:rFonts w:ascii="Arial" w:hAnsi="Arial" w:cs="Arial"/>
          <w:color w:val="auto"/>
        </w:rPr>
        <w:t>intersala</w:t>
      </w:r>
      <w:proofErr w:type="spellEnd"/>
      <w:r>
        <w:rPr>
          <w:rFonts w:ascii="Arial" w:hAnsi="Arial" w:cs="Arial"/>
          <w:color w:val="auto"/>
        </w:rPr>
        <w:t>. Status.</w:t>
      </w:r>
      <w:r w:rsidR="00056835">
        <w:rPr>
          <w:rFonts w:ascii="Arial" w:hAnsi="Arial" w:cs="Arial"/>
          <w:color w:val="auto"/>
        </w:rPr>
        <w:t xml:space="preserve"> </w:t>
      </w:r>
      <w:r w:rsidR="002458C6">
        <w:rPr>
          <w:rFonts w:ascii="Arial" w:hAnsi="Arial" w:cs="Arial"/>
          <w:color w:val="auto"/>
        </w:rPr>
        <w:t>Ingeniería</w:t>
      </w:r>
      <w:r w:rsidR="000B6C60">
        <w:rPr>
          <w:rFonts w:ascii="Arial" w:hAnsi="Arial" w:cs="Arial"/>
          <w:color w:val="auto"/>
        </w:rPr>
        <w:t>.</w:t>
      </w:r>
      <w:r w:rsidR="003D4717">
        <w:rPr>
          <w:rFonts w:ascii="Arial" w:hAnsi="Arial" w:cs="Arial"/>
          <w:color w:val="auto"/>
        </w:rPr>
        <w:t xml:space="preserve"> Materiales en aduana pero con materiales provisorios se puede arrancar de ser necesario.</w:t>
      </w:r>
      <w:r w:rsidR="00F82CDB">
        <w:rPr>
          <w:rFonts w:ascii="Arial" w:hAnsi="Arial" w:cs="Arial"/>
          <w:color w:val="auto"/>
        </w:rPr>
        <w:t xml:space="preserve"> En proceso de liberar por aduana. Temas ODF c</w:t>
      </w:r>
      <w:r w:rsidR="00CF28A2">
        <w:rPr>
          <w:rFonts w:ascii="Arial" w:hAnsi="Arial" w:cs="Arial"/>
          <w:color w:val="auto"/>
        </w:rPr>
        <w:t xml:space="preserve">on conectores </w:t>
      </w:r>
      <w:r w:rsidR="00F82CDB">
        <w:rPr>
          <w:rFonts w:ascii="Arial" w:hAnsi="Arial" w:cs="Arial"/>
          <w:color w:val="auto"/>
        </w:rPr>
        <w:t>MPO</w:t>
      </w:r>
      <w:r w:rsidR="00CF28A2">
        <w:rPr>
          <w:rFonts w:ascii="Arial" w:hAnsi="Arial" w:cs="Arial"/>
          <w:color w:val="auto"/>
        </w:rPr>
        <w:t xml:space="preserve">, Esteban cuenta con algunas </w:t>
      </w:r>
      <w:proofErr w:type="spellStart"/>
      <w:r w:rsidR="00CF28A2">
        <w:rPr>
          <w:rFonts w:ascii="Arial" w:hAnsi="Arial" w:cs="Arial"/>
          <w:color w:val="auto"/>
        </w:rPr>
        <w:t>ODFs</w:t>
      </w:r>
      <w:proofErr w:type="spellEnd"/>
      <w:r w:rsidR="00CF28A2">
        <w:rPr>
          <w:rFonts w:ascii="Arial" w:hAnsi="Arial" w:cs="Arial"/>
          <w:color w:val="auto"/>
        </w:rPr>
        <w:t>.</w:t>
      </w:r>
      <w:r w:rsidR="00F82CDB">
        <w:rPr>
          <w:rFonts w:ascii="Arial" w:hAnsi="Arial" w:cs="Arial"/>
          <w:color w:val="auto"/>
        </w:rPr>
        <w:t xml:space="preserve"> </w:t>
      </w:r>
      <w:r w:rsidR="00CF28A2">
        <w:rPr>
          <w:rFonts w:ascii="Arial" w:hAnsi="Arial" w:cs="Arial"/>
          <w:color w:val="auto"/>
        </w:rPr>
        <w:t xml:space="preserve">Se coordinó con Andrés la prueba </w:t>
      </w:r>
      <w:r w:rsidR="00CF28A2">
        <w:rPr>
          <w:rFonts w:ascii="Arial" w:hAnsi="Arial" w:cs="Arial"/>
          <w:color w:val="auto"/>
        </w:rPr>
        <w:lastRenderedPageBreak/>
        <w:t>de ellas.</w:t>
      </w:r>
      <w:r w:rsidR="00F82CDB">
        <w:rPr>
          <w:rFonts w:ascii="Arial" w:hAnsi="Arial" w:cs="Arial"/>
          <w:color w:val="auto"/>
        </w:rPr>
        <w:t xml:space="preserve"> Se probaron y dio OK, por lo c</w:t>
      </w:r>
      <w:r w:rsidR="00CF28A2">
        <w:rPr>
          <w:rFonts w:ascii="Arial" w:hAnsi="Arial" w:cs="Arial"/>
          <w:color w:val="auto"/>
        </w:rPr>
        <w:t xml:space="preserve">ual se instrumentará comprarlas a precio FOB dólar oficial. Son marca </w:t>
      </w:r>
      <w:proofErr w:type="spellStart"/>
      <w:r w:rsidR="00CF28A2">
        <w:rPr>
          <w:rFonts w:ascii="Arial" w:hAnsi="Arial" w:cs="Arial"/>
          <w:color w:val="auto"/>
        </w:rPr>
        <w:t>Commscope</w:t>
      </w:r>
      <w:proofErr w:type="spellEnd"/>
      <w:r w:rsidR="00CF28A2">
        <w:rPr>
          <w:rFonts w:ascii="Arial" w:hAnsi="Arial" w:cs="Arial"/>
          <w:color w:val="auto"/>
        </w:rPr>
        <w:t>.</w:t>
      </w:r>
    </w:p>
    <w:p w:rsidR="001F3DD2" w:rsidRPr="00CF28A2" w:rsidRDefault="002458C6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CF28A2">
        <w:rPr>
          <w:rFonts w:ascii="Arial" w:hAnsi="Arial" w:cs="Arial"/>
          <w:color w:val="000000" w:themeColor="text1"/>
        </w:rPr>
        <w:t xml:space="preserve">Subsidios energéticos – Status pendiente para regreso de Hernán </w:t>
      </w:r>
      <w:proofErr w:type="spellStart"/>
      <w:r w:rsidRPr="00CF28A2">
        <w:rPr>
          <w:rFonts w:ascii="Arial" w:hAnsi="Arial" w:cs="Arial"/>
          <w:color w:val="000000" w:themeColor="text1"/>
        </w:rPr>
        <w:t>Seoane</w:t>
      </w:r>
      <w:proofErr w:type="spellEnd"/>
      <w:r w:rsidR="00CF28A2" w:rsidRPr="00CF28A2">
        <w:rPr>
          <w:rFonts w:ascii="Arial" w:hAnsi="Arial" w:cs="Arial"/>
          <w:color w:val="000000" w:themeColor="text1"/>
        </w:rPr>
        <w:t xml:space="preserve"> Se saca tema </w:t>
      </w:r>
      <w:r w:rsidR="00CF28A2">
        <w:rPr>
          <w:rFonts w:ascii="Arial" w:hAnsi="Arial" w:cs="Arial"/>
          <w:color w:val="000000" w:themeColor="text1"/>
        </w:rPr>
        <w:t>de agenda por carecer de posibilidades.</w:t>
      </w:r>
    </w:p>
    <w:p w:rsidR="00130640" w:rsidRDefault="00D57D4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Sistema incendio sala vieja – Cotización.</w:t>
      </w:r>
      <w:r w:rsidR="003D4717">
        <w:rPr>
          <w:rFonts w:ascii="Arial" w:hAnsi="Arial" w:cs="Arial"/>
          <w:color w:val="auto"/>
        </w:rPr>
        <w:t xml:space="preserve"> </w:t>
      </w:r>
      <w:r w:rsidR="00CF28A2">
        <w:rPr>
          <w:rFonts w:ascii="Arial" w:hAnsi="Arial" w:cs="Arial"/>
          <w:color w:val="auto"/>
        </w:rPr>
        <w:t>Se pidió aclaración a ATI durante la reunión. La misma circuló por mail. De no mediar observaciones al Lunes 17 se procederá a la contratación. Son $28.000 mensuales por las dos salas.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  <w:lang w:val="es-AR"/>
        </w:rPr>
        <w:t>Status - CT BUE.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Reordenamiento </w:t>
      </w:r>
      <w:proofErr w:type="spellStart"/>
      <w:r>
        <w:rPr>
          <w:rFonts w:ascii="Arial" w:hAnsi="Arial" w:cs="Arial"/>
          <w:color w:val="D9D9D9" w:themeColor="background1" w:themeShade="D9"/>
        </w:rPr>
        <w:t>Metrotel</w:t>
      </w:r>
      <w:proofErr w:type="spellEnd"/>
      <w:r>
        <w:rPr>
          <w:rFonts w:ascii="Arial" w:hAnsi="Arial" w:cs="Arial"/>
          <w:color w:val="D9D9D9" w:themeColor="background1" w:themeShade="D9"/>
        </w:rPr>
        <w:t>. Status.</w:t>
      </w:r>
    </w:p>
    <w:p w:rsidR="001F3DD2" w:rsidRDefault="00151810" w:rsidP="00D57D49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3C39AA">
        <w:rPr>
          <w:rFonts w:ascii="Arial" w:hAnsi="Arial" w:cs="Arial"/>
          <w:color w:val="auto"/>
          <w:lang w:val="en-US"/>
        </w:rPr>
        <w:t>Mudanza</w:t>
      </w:r>
      <w:proofErr w:type="spellEnd"/>
      <w:r w:rsidRPr="003C39AA">
        <w:rPr>
          <w:rFonts w:ascii="Arial" w:hAnsi="Arial" w:cs="Arial"/>
          <w:color w:val="auto"/>
          <w:lang w:val="en-US"/>
        </w:rPr>
        <w:t xml:space="preserve"> a meet me room. </w:t>
      </w:r>
      <w:r>
        <w:rPr>
          <w:rFonts w:ascii="Arial" w:hAnsi="Arial" w:cs="Arial"/>
          <w:color w:val="auto"/>
          <w:lang w:val="es-AR"/>
        </w:rPr>
        <w:t>Status.</w:t>
      </w:r>
      <w:r w:rsidR="003C39AA">
        <w:rPr>
          <w:rFonts w:ascii="Arial" w:hAnsi="Arial" w:cs="Arial"/>
          <w:color w:val="auto"/>
          <w:lang w:val="es-AR"/>
        </w:rPr>
        <w:t xml:space="preserve"> </w:t>
      </w:r>
      <w:r w:rsidR="00232E3F">
        <w:rPr>
          <w:rFonts w:ascii="Arial" w:hAnsi="Arial" w:cs="Arial"/>
          <w:color w:val="auto"/>
          <w:lang w:val="es-AR"/>
        </w:rPr>
        <w:t xml:space="preserve">Solo queda pendiente caso </w:t>
      </w:r>
      <w:proofErr w:type="spellStart"/>
      <w:r w:rsidR="00232E3F">
        <w:rPr>
          <w:rFonts w:ascii="Arial" w:hAnsi="Arial" w:cs="Arial"/>
          <w:color w:val="auto"/>
          <w:lang w:val="es-AR"/>
        </w:rPr>
        <w:t>Silica</w:t>
      </w:r>
      <w:proofErr w:type="spellEnd"/>
      <w:r w:rsidR="00232E3F">
        <w:rPr>
          <w:rFonts w:ascii="Arial" w:hAnsi="Arial" w:cs="Arial"/>
          <w:color w:val="auto"/>
          <w:lang w:val="es-AR"/>
        </w:rPr>
        <w:t xml:space="preserve">. </w:t>
      </w:r>
      <w:proofErr w:type="spellStart"/>
      <w:r w:rsidR="00232E3F">
        <w:rPr>
          <w:rFonts w:ascii="Arial" w:hAnsi="Arial" w:cs="Arial"/>
          <w:color w:val="auto"/>
          <w:lang w:val="es-AR"/>
        </w:rPr>
        <w:t>Metrotel</w:t>
      </w:r>
      <w:proofErr w:type="spellEnd"/>
      <w:r w:rsidR="00232E3F">
        <w:rPr>
          <w:rFonts w:ascii="Arial" w:hAnsi="Arial" w:cs="Arial"/>
          <w:color w:val="auto"/>
          <w:lang w:val="es-AR"/>
        </w:rPr>
        <w:t xml:space="preserve"> como no correspondía porque era redundancia (no considerado en esta fase) se retiró penalidad</w:t>
      </w:r>
      <w:r w:rsidR="002F3EDF">
        <w:rPr>
          <w:rFonts w:ascii="Arial" w:hAnsi="Arial" w:cs="Arial"/>
          <w:color w:val="auto"/>
          <w:lang w:val="es-AR"/>
        </w:rPr>
        <w:t>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>Equipos sin uso sin respuesta de miembros.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D57D49">
        <w:rPr>
          <w:rFonts w:ascii="Arial" w:hAnsi="Arial" w:cs="Arial"/>
          <w:color w:val="auto"/>
        </w:rPr>
        <w:t>Disponibilidad de Puertos. Reporte mensual de ocupación, comprometido y libre por parte de CTBUE</w:t>
      </w:r>
      <w:r w:rsidR="00440049">
        <w:rPr>
          <w:rFonts w:ascii="Arial" w:hAnsi="Arial" w:cs="Arial"/>
          <w:color w:val="auto"/>
        </w:rPr>
        <w:t>. No tratado</w:t>
      </w:r>
      <w:r>
        <w:rPr>
          <w:rFonts w:ascii="Arial" w:hAnsi="Arial" w:cs="Arial"/>
          <w:color w:val="D9D9D9" w:themeColor="background1" w:themeShade="D9"/>
        </w:rPr>
        <w:t xml:space="preserve">. </w:t>
      </w:r>
    </w:p>
    <w:p w:rsidR="001F3DD2" w:rsidRDefault="001F3DD2">
      <w:pPr>
        <w:pStyle w:val="Prrafodelista"/>
        <w:ind w:left="1494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INGENIERÍA Y OPERACIÓN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 xml:space="preserve">Situación </w:t>
      </w:r>
      <w:proofErr w:type="spellStart"/>
      <w:r>
        <w:rPr>
          <w:rFonts w:ascii="Arial" w:hAnsi="Arial" w:cs="Arial"/>
          <w:color w:val="D9D9D9" w:themeColor="background1" w:themeShade="D9"/>
          <w:lang w:val="es-AR"/>
        </w:rPr>
        <w:t>Akamai</w:t>
      </w:r>
      <w:proofErr w:type="spellEnd"/>
      <w:r>
        <w:rPr>
          <w:rFonts w:ascii="Arial" w:hAnsi="Arial" w:cs="Arial"/>
          <w:color w:val="D9D9D9" w:themeColor="background1" w:themeShade="D9"/>
          <w:lang w:val="es-AR"/>
        </w:rPr>
        <w:t xml:space="preserve"> - </w:t>
      </w:r>
      <w:r>
        <w:rPr>
          <w:rFonts w:ascii="Arial" w:hAnsi="Arial" w:cs="Arial"/>
          <w:color w:val="D9D9D9" w:themeColor="background1" w:themeShade="D9"/>
        </w:rPr>
        <w:t>Status. SE MANTIENE EN AGENDA</w:t>
      </w:r>
      <w:r>
        <w:rPr>
          <w:rFonts w:ascii="Arial" w:hAnsi="Arial" w:cs="Arial"/>
          <w:color w:val="D9D9D9" w:themeColor="background1" w:themeShade="D9"/>
          <w:lang w:val="es-AR"/>
        </w:rPr>
        <w:t xml:space="preserve">.   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Microsoft – incumplimiento del multilateral implementado vía múltiples bilaterales. Status. SE MANTIENE EN AGENDA</w:t>
      </w:r>
    </w:p>
    <w:p w:rsidR="001F3DD2" w:rsidRPr="00D57D49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D57D49">
        <w:rPr>
          <w:rFonts w:ascii="Arial" w:hAnsi="Arial" w:cs="Arial"/>
          <w:color w:val="auto"/>
        </w:rPr>
        <w:t xml:space="preserve">Ingeniería Buenos Aires – Status. </w:t>
      </w:r>
    </w:p>
    <w:p w:rsidR="001F3DD2" w:rsidRPr="00D57D49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D57D49">
        <w:rPr>
          <w:rFonts w:ascii="Arial" w:hAnsi="Arial" w:cs="Arial"/>
          <w:color w:val="auto"/>
        </w:rPr>
        <w:t>Búsqueda de Ingeniero para BUE. Status.</w:t>
      </w:r>
      <w:r w:rsidR="00C82B28">
        <w:rPr>
          <w:rFonts w:ascii="Arial" w:hAnsi="Arial" w:cs="Arial"/>
          <w:color w:val="auto"/>
        </w:rPr>
        <w:t xml:space="preserve"> No tratado. Se </w:t>
      </w:r>
      <w:r w:rsidR="00232E3F">
        <w:rPr>
          <w:rFonts w:ascii="Arial" w:hAnsi="Arial" w:cs="Arial"/>
          <w:color w:val="auto"/>
        </w:rPr>
        <w:t xml:space="preserve">dio </w:t>
      </w:r>
      <w:proofErr w:type="spellStart"/>
      <w:r w:rsidR="00FB635A">
        <w:rPr>
          <w:rFonts w:ascii="Arial" w:hAnsi="Arial" w:cs="Arial"/>
          <w:color w:val="auto"/>
        </w:rPr>
        <w:t>up</w:t>
      </w:r>
      <w:r w:rsidR="00232E3F">
        <w:rPr>
          <w:rFonts w:ascii="Arial" w:hAnsi="Arial" w:cs="Arial"/>
          <w:color w:val="auto"/>
        </w:rPr>
        <w:t>date</w:t>
      </w:r>
      <w:proofErr w:type="spellEnd"/>
      <w:r w:rsidR="00232E3F">
        <w:rPr>
          <w:rFonts w:ascii="Arial" w:hAnsi="Arial" w:cs="Arial"/>
          <w:color w:val="auto"/>
        </w:rPr>
        <w:t xml:space="preserve"> a mesa de IXP sobre lo tratado de mesa chica con staff. Se seguirá avanzando.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Contratación de terceros para proyectos específicos. A modo de ejemplo se listan algunos: RPKI, VXLAN, </w:t>
      </w:r>
      <w:proofErr w:type="spellStart"/>
      <w:r>
        <w:rPr>
          <w:rFonts w:ascii="Arial" w:hAnsi="Arial" w:cs="Arial"/>
          <w:color w:val="D9D9D9" w:themeColor="background1" w:themeShade="D9"/>
        </w:rPr>
        <w:t>Switch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apertura de puertos, Mitigación DDOS, Automatizaciones; </w:t>
      </w:r>
      <w:proofErr w:type="spellStart"/>
      <w:r>
        <w:rPr>
          <w:rFonts w:ascii="Arial" w:hAnsi="Arial" w:cs="Arial"/>
          <w:color w:val="D9D9D9" w:themeColor="background1" w:themeShade="D9"/>
        </w:rPr>
        <w:t>Info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 IXP-DB, Otros</w:t>
      </w:r>
    </w:p>
    <w:p w:rsidR="001F3DD2" w:rsidRDefault="00151810" w:rsidP="00483622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Elaboración de procesos</w:t>
      </w:r>
    </w:p>
    <w:p w:rsidR="008847BD" w:rsidRDefault="00483622" w:rsidP="007006B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8847BD">
        <w:rPr>
          <w:rFonts w:ascii="Arial" w:hAnsi="Arial" w:cs="Arial"/>
          <w:color w:val="auto"/>
        </w:rPr>
        <w:t>PAT OGB – Status. No tratado</w:t>
      </w:r>
    </w:p>
    <w:p w:rsidR="008847BD" w:rsidRDefault="008847BD" w:rsidP="008847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Documento de </w:t>
      </w:r>
      <w:r w:rsidR="001D109D" w:rsidRPr="008847BD">
        <w:rPr>
          <w:rFonts w:ascii="Arial" w:hAnsi="Arial" w:cs="Arial"/>
          <w:color w:val="auto"/>
        </w:rPr>
        <w:t>mecanismo propuesto por CT BUE para horarios y mecanismos de cableado en Sala de IXP</w:t>
      </w:r>
      <w:r>
        <w:rPr>
          <w:rFonts w:ascii="Arial" w:hAnsi="Arial" w:cs="Arial"/>
          <w:color w:val="auto"/>
        </w:rPr>
        <w:t xml:space="preserve"> incluye provisión de patchcords</w:t>
      </w:r>
      <w:bookmarkStart w:id="0" w:name="_GoBack"/>
      <w:bookmarkEnd w:id="0"/>
      <w:r w:rsidR="001D109D" w:rsidRPr="008847B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Status – No </w:t>
      </w:r>
      <w:proofErr w:type="spellStart"/>
      <w:r>
        <w:rPr>
          <w:rFonts w:ascii="Arial" w:hAnsi="Arial" w:cs="Arial"/>
          <w:color w:val="auto"/>
        </w:rPr>
        <w:t>tratado</w:t>
      </w:r>
      <w:proofErr w:type="spellEnd"/>
    </w:p>
    <w:p w:rsidR="007006B3" w:rsidRDefault="007006B3" w:rsidP="008847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CABASE en el marco de certificación ISO 9001 se lleva análisis de tema de procesos de elaboración y seguimiento de Budget.</w:t>
      </w:r>
      <w:r w:rsidR="008847BD">
        <w:rPr>
          <w:rFonts w:ascii="Arial" w:hAnsi="Arial" w:cs="Arial"/>
          <w:color w:val="auto"/>
        </w:rPr>
        <w:t xml:space="preserve"> No</w:t>
      </w:r>
      <w:r w:rsidR="00F0537E">
        <w:rPr>
          <w:rFonts w:ascii="Arial" w:hAnsi="Arial" w:cs="Arial"/>
          <w:color w:val="auto"/>
        </w:rPr>
        <w:t xml:space="preserve"> tratado.</w:t>
      </w:r>
    </w:p>
    <w:p w:rsidR="001F3DD2" w:rsidRDefault="001F3DD2">
      <w:pPr>
        <w:pStyle w:val="Prrafodelista"/>
        <w:ind w:left="1069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ind w:left="106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PRÓXIMA REUNIÓN IXP-BUE: </w:t>
      </w:r>
      <w:r w:rsidR="00FB635A">
        <w:rPr>
          <w:rFonts w:ascii="Arial" w:hAnsi="Arial" w:cs="Arial"/>
          <w:color w:val="auto"/>
        </w:rPr>
        <w:t>20-04</w:t>
      </w:r>
      <w:r w:rsidR="00A45BEE">
        <w:rPr>
          <w:rFonts w:ascii="Arial" w:hAnsi="Arial" w:cs="Arial"/>
          <w:color w:val="auto"/>
        </w:rPr>
        <w:t xml:space="preserve">-23 10 </w:t>
      </w:r>
      <w:r w:rsidR="00FB635A">
        <w:rPr>
          <w:rFonts w:ascii="Arial" w:hAnsi="Arial" w:cs="Arial"/>
          <w:color w:val="auto"/>
        </w:rPr>
        <w:t>/11 a 12 AM (TBD)</w:t>
      </w:r>
    </w:p>
    <w:p w:rsidR="001F3DD2" w:rsidRDefault="0015181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Referencias:</w:t>
      </w:r>
      <w:r>
        <w:rPr>
          <w:rFonts w:ascii="Arial" w:hAnsi="Arial" w:cs="Arial"/>
          <w:color w:val="auto"/>
        </w:rPr>
        <w:t xml:space="preserve"> 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CT BUE Coordinador técnico Buenos Aires.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ATI Administrador Técnico de Infraestructura.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ATN Administrador Técnico de </w:t>
      </w:r>
      <w:proofErr w:type="spellStart"/>
      <w:r>
        <w:rPr>
          <w:rFonts w:ascii="Arial" w:hAnsi="Arial" w:cs="Arial"/>
          <w:color w:val="auto"/>
        </w:rPr>
        <w:t>Networking</w:t>
      </w:r>
      <w:proofErr w:type="spellEnd"/>
      <w:r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NOCC NOC CABASE.</w:t>
      </w:r>
    </w:p>
    <w:p w:rsidR="001F3DD2" w:rsidRDefault="001F3DD2">
      <w:pPr>
        <w:rPr>
          <w:rFonts w:ascii="Arial" w:hAnsi="Arial" w:cs="Arial"/>
          <w:color w:val="auto"/>
        </w:rPr>
      </w:pPr>
    </w:p>
    <w:sectPr w:rsidR="001F3DD2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2"/>
    <w:rsid w:val="00004917"/>
    <w:rsid w:val="00056835"/>
    <w:rsid w:val="000B456D"/>
    <w:rsid w:val="000B6C60"/>
    <w:rsid w:val="000E31B5"/>
    <w:rsid w:val="00130640"/>
    <w:rsid w:val="001377CB"/>
    <w:rsid w:val="00151810"/>
    <w:rsid w:val="001537D0"/>
    <w:rsid w:val="001D109D"/>
    <w:rsid w:val="001F3DD2"/>
    <w:rsid w:val="001F51B9"/>
    <w:rsid w:val="0021176A"/>
    <w:rsid w:val="00232E3F"/>
    <w:rsid w:val="002458C6"/>
    <w:rsid w:val="002A41C5"/>
    <w:rsid w:val="002D0B86"/>
    <w:rsid w:val="002F3EDF"/>
    <w:rsid w:val="003410F0"/>
    <w:rsid w:val="0034404D"/>
    <w:rsid w:val="00383CBB"/>
    <w:rsid w:val="00397CCE"/>
    <w:rsid w:val="003C39AA"/>
    <w:rsid w:val="003D4717"/>
    <w:rsid w:val="00405265"/>
    <w:rsid w:val="00440049"/>
    <w:rsid w:val="004519E5"/>
    <w:rsid w:val="004601CA"/>
    <w:rsid w:val="00483622"/>
    <w:rsid w:val="004E783E"/>
    <w:rsid w:val="004F36EF"/>
    <w:rsid w:val="005F111C"/>
    <w:rsid w:val="00616065"/>
    <w:rsid w:val="007006B3"/>
    <w:rsid w:val="007B6485"/>
    <w:rsid w:val="007C48AB"/>
    <w:rsid w:val="00846116"/>
    <w:rsid w:val="00876723"/>
    <w:rsid w:val="008847BD"/>
    <w:rsid w:val="008D3EB5"/>
    <w:rsid w:val="009128AD"/>
    <w:rsid w:val="00932BE4"/>
    <w:rsid w:val="00986437"/>
    <w:rsid w:val="009925C2"/>
    <w:rsid w:val="009F6819"/>
    <w:rsid w:val="00A10B54"/>
    <w:rsid w:val="00A22B2A"/>
    <w:rsid w:val="00A45BEE"/>
    <w:rsid w:val="00A70773"/>
    <w:rsid w:val="00AD62D8"/>
    <w:rsid w:val="00B724B6"/>
    <w:rsid w:val="00C45F5C"/>
    <w:rsid w:val="00C469D2"/>
    <w:rsid w:val="00C82B28"/>
    <w:rsid w:val="00C83EF0"/>
    <w:rsid w:val="00C841D3"/>
    <w:rsid w:val="00C9353A"/>
    <w:rsid w:val="00CA1712"/>
    <w:rsid w:val="00CF28A2"/>
    <w:rsid w:val="00D57D49"/>
    <w:rsid w:val="00DE7483"/>
    <w:rsid w:val="00EA3CF3"/>
    <w:rsid w:val="00ED11F6"/>
    <w:rsid w:val="00F0537E"/>
    <w:rsid w:val="00F80B8E"/>
    <w:rsid w:val="00F82CDB"/>
    <w:rsid w:val="00FA4A1A"/>
    <w:rsid w:val="00FB635A"/>
    <w:rsid w:val="00FC7C1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E77A6-4581-4DDA-92F4-0C54007D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14</cp:revision>
  <dcterms:created xsi:type="dcterms:W3CDTF">2023-03-16T14:01:00Z</dcterms:created>
  <dcterms:modified xsi:type="dcterms:W3CDTF">2023-03-17T16:30:00Z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