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907BA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4E567C">
        <w:rPr>
          <w:rFonts w:ascii="Courier New" w:hAnsi="Courier New" w:cs="Courier New"/>
          <w:b/>
        </w:rPr>
        <w:t>REGIONAL BUENOS AIRES DEL  20-04</w:t>
      </w:r>
      <w:r w:rsidR="00C45F5C">
        <w:rPr>
          <w:rFonts w:ascii="Courier New" w:hAnsi="Courier New" w:cs="Courier New"/>
          <w:b/>
        </w:rPr>
        <w:t>-2023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Sin novedades.</w:t>
      </w:r>
    </w:p>
    <w:p w:rsidR="001F3DD2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Se seguirán los pasos de desconexión por falta de pago de </w:t>
      </w:r>
      <w:r w:rsidR="008E4892">
        <w:rPr>
          <w:rFonts w:ascii="Arial" w:hAnsi="Arial" w:cs="Arial"/>
          <w:color w:val="auto"/>
        </w:rPr>
        <w:t xml:space="preserve"> </w:t>
      </w:r>
      <w:r w:rsidR="004A7B79" w:rsidRPr="00430071">
        <w:rPr>
          <w:rFonts w:ascii="Arial" w:hAnsi="Arial" w:cs="Arial"/>
          <w:color w:val="auto"/>
        </w:rPr>
        <w:t>BA328-00 MONICABOZZI,LAUTAROPAZ,Y.BORAGNOS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</w:t>
      </w:r>
      <w:r w:rsidR="004A7B79">
        <w:rPr>
          <w:rFonts w:ascii="Arial" w:hAnsi="Arial" w:cs="Arial"/>
          <w:color w:val="auto"/>
        </w:rPr>
        <w:t>Sin novedades.</w:t>
      </w:r>
    </w:p>
    <w:p w:rsidR="002458C6" w:rsidRPr="002458C6" w:rsidRDefault="00151810" w:rsidP="002458C6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C45F5C">
        <w:rPr>
          <w:rFonts w:ascii="Arial" w:hAnsi="Arial" w:cs="Arial"/>
          <w:color w:val="auto"/>
          <w:lang w:val="es-AR"/>
        </w:rPr>
        <w:t>Otros:</w:t>
      </w:r>
    </w:p>
    <w:p w:rsidR="00932BE4" w:rsidRPr="00932BE4" w:rsidRDefault="002458C6" w:rsidP="002458C6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846116">
        <w:rPr>
          <w:rFonts w:ascii="Arial" w:hAnsi="Arial" w:cs="Arial"/>
          <w:color w:val="auto"/>
          <w:lang w:val="es-AR"/>
        </w:rPr>
        <w:t xml:space="preserve">Status </w:t>
      </w:r>
      <w:r>
        <w:rPr>
          <w:rFonts w:ascii="Arial" w:hAnsi="Arial" w:cs="Arial"/>
          <w:color w:val="auto"/>
          <w:lang w:val="es-AR"/>
        </w:rPr>
        <w:t>CT BUE</w:t>
      </w:r>
      <w:r w:rsidR="00C9353A">
        <w:rPr>
          <w:rFonts w:ascii="Arial" w:hAnsi="Arial" w:cs="Arial"/>
          <w:color w:val="auto"/>
          <w:lang w:val="es-AR"/>
        </w:rPr>
        <w:t xml:space="preserve">. </w:t>
      </w:r>
    </w:p>
    <w:p w:rsidR="00801FAF" w:rsidRPr="00801FAF" w:rsidRDefault="004A7B79" w:rsidP="00932BE4">
      <w:pPr>
        <w:pStyle w:val="Prrafodelista"/>
        <w:numPr>
          <w:ilvl w:val="4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Ci</w:t>
      </w:r>
      <w:r w:rsidR="00C9353A">
        <w:rPr>
          <w:rFonts w:ascii="Arial" w:hAnsi="Arial" w:cs="Arial"/>
          <w:color w:val="auto"/>
          <w:lang w:val="es-AR"/>
        </w:rPr>
        <w:t>rion</w:t>
      </w:r>
      <w:proofErr w:type="spellEnd"/>
      <w:r>
        <w:rPr>
          <w:rFonts w:ascii="Arial" w:hAnsi="Arial" w:cs="Arial"/>
          <w:color w:val="auto"/>
          <w:lang w:val="es-AR"/>
        </w:rPr>
        <w:t>.</w:t>
      </w:r>
      <w:r w:rsidR="007C48AB">
        <w:rPr>
          <w:rFonts w:ascii="Arial" w:hAnsi="Arial" w:cs="Arial"/>
          <w:color w:val="auto"/>
          <w:lang w:val="es-AR"/>
        </w:rPr>
        <w:t xml:space="preserve"> </w:t>
      </w:r>
    </w:p>
    <w:p w:rsidR="00932BE4" w:rsidRPr="00801FAF" w:rsidRDefault="00C80B36" w:rsidP="00801FAF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 xml:space="preserve">Participó en la reunión </w:t>
      </w:r>
      <w:proofErr w:type="spellStart"/>
      <w:r>
        <w:rPr>
          <w:rFonts w:ascii="Arial" w:hAnsi="Arial" w:cs="Arial"/>
          <w:color w:val="auto"/>
          <w:lang w:val="es-AR"/>
        </w:rPr>
        <w:t>Agustin</w:t>
      </w:r>
      <w:proofErr w:type="spellEnd"/>
      <w:r>
        <w:rPr>
          <w:rFonts w:ascii="Arial" w:hAnsi="Arial" w:cs="Arial"/>
          <w:color w:val="auto"/>
          <w:lang w:val="es-AR"/>
        </w:rPr>
        <w:t xml:space="preserve"> </w:t>
      </w:r>
      <w:proofErr w:type="spellStart"/>
      <w:r>
        <w:rPr>
          <w:rFonts w:ascii="Arial" w:hAnsi="Arial" w:cs="Arial"/>
          <w:color w:val="auto"/>
          <w:lang w:val="es-AR"/>
        </w:rPr>
        <w:t>Speziale</w:t>
      </w:r>
      <w:proofErr w:type="spellEnd"/>
      <w:r>
        <w:rPr>
          <w:rFonts w:ascii="Arial" w:hAnsi="Arial" w:cs="Arial"/>
          <w:color w:val="auto"/>
          <w:lang w:val="es-AR"/>
        </w:rPr>
        <w:t xml:space="preserve"> por parte de </w:t>
      </w:r>
      <w:proofErr w:type="spellStart"/>
      <w:r>
        <w:rPr>
          <w:rFonts w:ascii="Arial" w:hAnsi="Arial" w:cs="Arial"/>
          <w:color w:val="auto"/>
          <w:lang w:val="es-AR"/>
        </w:rPr>
        <w:t>Cirion</w:t>
      </w:r>
      <w:proofErr w:type="spellEnd"/>
      <w:r w:rsidR="00801FAF">
        <w:rPr>
          <w:rFonts w:ascii="Arial" w:hAnsi="Arial" w:cs="Arial"/>
          <w:color w:val="auto"/>
          <w:lang w:val="es-AR"/>
        </w:rPr>
        <w:t xml:space="preserve">. Agustín explicó los esfuerzos que viene haciendo por cumplir con lo decidido oportunamente por la mesa respecto de </w:t>
      </w:r>
      <w:proofErr w:type="spellStart"/>
      <w:r w:rsidR="00801FAF">
        <w:rPr>
          <w:rFonts w:ascii="Arial" w:hAnsi="Arial" w:cs="Arial"/>
          <w:color w:val="auto"/>
          <w:lang w:val="es-AR"/>
        </w:rPr>
        <w:t>PeeringDB</w:t>
      </w:r>
      <w:proofErr w:type="spellEnd"/>
      <w:r w:rsidR="00801FAF">
        <w:rPr>
          <w:rFonts w:ascii="Arial" w:hAnsi="Arial" w:cs="Arial"/>
          <w:color w:val="auto"/>
          <w:lang w:val="es-AR"/>
        </w:rPr>
        <w:t xml:space="preserve"> pero sin éxito al momento.</w:t>
      </w:r>
    </w:p>
    <w:p w:rsidR="00801FAF" w:rsidRPr="00801FAF" w:rsidRDefault="00801FAF" w:rsidP="00801FAF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Hernan</w:t>
      </w:r>
      <w:proofErr w:type="spellEnd"/>
      <w:r>
        <w:rPr>
          <w:rFonts w:ascii="Arial" w:hAnsi="Arial" w:cs="Arial"/>
          <w:color w:val="auto"/>
          <w:lang w:val="es-AR"/>
        </w:rPr>
        <w:t xml:space="preserve"> </w:t>
      </w:r>
      <w:proofErr w:type="spellStart"/>
      <w:r>
        <w:rPr>
          <w:rFonts w:ascii="Arial" w:hAnsi="Arial" w:cs="Arial"/>
          <w:color w:val="auto"/>
          <w:lang w:val="es-AR"/>
        </w:rPr>
        <w:t>Arcidiacono</w:t>
      </w:r>
      <w:proofErr w:type="spellEnd"/>
      <w:r>
        <w:rPr>
          <w:rFonts w:ascii="Arial" w:hAnsi="Arial" w:cs="Arial"/>
          <w:color w:val="auto"/>
          <w:lang w:val="es-AR"/>
        </w:rPr>
        <w:t xml:space="preserve"> explica cuál fue el motivo de la decisión y el proceso implementado para luego llegar a las penalidades. Se aclaran aplicar penalidades es sólo un mecanismo de última instancia para normalizar lo decidido por la mesa.</w:t>
      </w:r>
    </w:p>
    <w:p w:rsidR="00801FAF" w:rsidRPr="00801FAF" w:rsidRDefault="00801FAF" w:rsidP="00801FAF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 xml:space="preserve">Hernán </w:t>
      </w:r>
      <w:proofErr w:type="spellStart"/>
      <w:r>
        <w:rPr>
          <w:rFonts w:ascii="Arial" w:hAnsi="Arial" w:cs="Arial"/>
          <w:color w:val="auto"/>
          <w:lang w:val="es-AR"/>
        </w:rPr>
        <w:t>Arcidiácono</w:t>
      </w:r>
      <w:proofErr w:type="spellEnd"/>
      <w:r>
        <w:rPr>
          <w:rFonts w:ascii="Arial" w:hAnsi="Arial" w:cs="Arial"/>
          <w:color w:val="auto"/>
          <w:lang w:val="es-AR"/>
        </w:rPr>
        <w:t xml:space="preserve">, Esteban </w:t>
      </w:r>
      <w:proofErr w:type="spellStart"/>
      <w:r>
        <w:rPr>
          <w:rFonts w:ascii="Arial" w:hAnsi="Arial" w:cs="Arial"/>
          <w:color w:val="auto"/>
          <w:lang w:val="es-AR"/>
        </w:rPr>
        <w:t>Tocalini</w:t>
      </w:r>
      <w:proofErr w:type="spellEnd"/>
      <w:r>
        <w:rPr>
          <w:rFonts w:ascii="Arial" w:hAnsi="Arial" w:cs="Arial"/>
          <w:color w:val="auto"/>
          <w:lang w:val="es-AR"/>
        </w:rPr>
        <w:t xml:space="preserve"> y Patricio </w:t>
      </w:r>
      <w:proofErr w:type="spellStart"/>
      <w:r>
        <w:rPr>
          <w:rFonts w:ascii="Arial" w:hAnsi="Arial" w:cs="Arial"/>
          <w:color w:val="auto"/>
          <w:lang w:val="es-AR"/>
        </w:rPr>
        <w:t>Seoane</w:t>
      </w:r>
      <w:proofErr w:type="spellEnd"/>
      <w:r>
        <w:rPr>
          <w:rFonts w:ascii="Arial" w:hAnsi="Arial" w:cs="Arial"/>
          <w:color w:val="auto"/>
          <w:lang w:val="es-AR"/>
        </w:rPr>
        <w:t xml:space="preserve"> ratifican que tener un ASN es un requisito para pertenecer a los </w:t>
      </w:r>
      <w:proofErr w:type="spellStart"/>
      <w:r>
        <w:rPr>
          <w:rFonts w:ascii="Arial" w:hAnsi="Arial" w:cs="Arial"/>
          <w:color w:val="auto"/>
          <w:lang w:val="es-AR"/>
        </w:rPr>
        <w:t>IXPs</w:t>
      </w:r>
      <w:proofErr w:type="spellEnd"/>
      <w:r>
        <w:rPr>
          <w:rFonts w:ascii="Arial" w:hAnsi="Arial" w:cs="Arial"/>
          <w:color w:val="auto"/>
          <w:lang w:val="es-AR"/>
        </w:rPr>
        <w:t xml:space="preserve"> de CABASE por lo cual más allá de </w:t>
      </w: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esta </w:t>
      </w:r>
      <w:proofErr w:type="spellStart"/>
      <w:r>
        <w:rPr>
          <w:rFonts w:ascii="Arial" w:hAnsi="Arial" w:cs="Arial"/>
          <w:color w:val="auto"/>
          <w:lang w:val="es-AR"/>
        </w:rPr>
        <w:t>sitación</w:t>
      </w:r>
      <w:proofErr w:type="spellEnd"/>
      <w:r>
        <w:rPr>
          <w:rFonts w:ascii="Arial" w:hAnsi="Arial" w:cs="Arial"/>
          <w:color w:val="auto"/>
          <w:lang w:val="es-AR"/>
        </w:rPr>
        <w:t xml:space="preserve"> debe ser resuelta.</w:t>
      </w:r>
    </w:p>
    <w:p w:rsidR="00801FAF" w:rsidRPr="00801FAF" w:rsidRDefault="00801FAF" w:rsidP="00801FAF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 xml:space="preserve">Se acuerda con Agustín que a posteriori de esta reunión, </w:t>
      </w:r>
      <w:proofErr w:type="spellStart"/>
      <w:r>
        <w:rPr>
          <w:rFonts w:ascii="Arial" w:hAnsi="Arial" w:cs="Arial"/>
          <w:color w:val="auto"/>
        </w:rPr>
        <w:t>Cirion</w:t>
      </w:r>
      <w:proofErr w:type="spellEnd"/>
      <w:r>
        <w:rPr>
          <w:rFonts w:ascii="Arial" w:hAnsi="Arial" w:cs="Arial"/>
          <w:color w:val="auto"/>
        </w:rPr>
        <w:t xml:space="preserve"> haga una propuesta para solucionar su situación, especificando un tiempo para solucionarlo.</w:t>
      </w:r>
    </w:p>
    <w:p w:rsidR="00801FAF" w:rsidRPr="00801FAF" w:rsidRDefault="00801FAF" w:rsidP="00801FAF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 xml:space="preserve">La mesa analizará la propuesta y de ser razonable otorgaría un </w:t>
      </w:r>
      <w:proofErr w:type="spellStart"/>
      <w:r>
        <w:rPr>
          <w:rFonts w:ascii="Arial" w:hAnsi="Arial" w:cs="Arial"/>
          <w:color w:val="auto"/>
        </w:rPr>
        <w:t>waiver</w:t>
      </w:r>
      <w:proofErr w:type="spellEnd"/>
      <w:r>
        <w:rPr>
          <w:rFonts w:ascii="Arial" w:hAnsi="Arial" w:cs="Arial"/>
          <w:color w:val="auto"/>
        </w:rPr>
        <w:t xml:space="preserve"> temporal.</w:t>
      </w:r>
    </w:p>
    <w:p w:rsidR="00801FAF" w:rsidRPr="00BF5B2D" w:rsidRDefault="00801FAF" w:rsidP="00801FAF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No se llegó a discutir los detalles de penalidades pasada</w:t>
      </w:r>
      <w:r w:rsidR="00BF5B2D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, ni </w:t>
      </w:r>
      <w:r w:rsidR="00BF5B2D">
        <w:rPr>
          <w:rFonts w:ascii="Arial" w:hAnsi="Arial" w:cs="Arial"/>
          <w:color w:val="auto"/>
        </w:rPr>
        <w:t xml:space="preserve">aplicación hacia adelante, y el detalle debiera ser visto en el contexto de la propuesta que mande </w:t>
      </w:r>
      <w:proofErr w:type="spellStart"/>
      <w:r w:rsidR="00BF5B2D">
        <w:rPr>
          <w:rFonts w:ascii="Arial" w:hAnsi="Arial" w:cs="Arial"/>
          <w:color w:val="auto"/>
        </w:rPr>
        <w:t>Cirion</w:t>
      </w:r>
      <w:proofErr w:type="spellEnd"/>
      <w:r w:rsidR="00BF5B2D">
        <w:rPr>
          <w:rFonts w:ascii="Arial" w:hAnsi="Arial" w:cs="Arial"/>
          <w:color w:val="auto"/>
        </w:rPr>
        <w:t>.</w:t>
      </w:r>
    </w:p>
    <w:p w:rsidR="00D30569" w:rsidRPr="00D30569" w:rsidRDefault="00BF5B2D" w:rsidP="00D30569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La misma puede ser mandada antes, en forma independiente de la próxima reunión, ya que dado la importancia del tema se puede tratar el tema en forma extraordinaria.</w:t>
      </w:r>
    </w:p>
    <w:p w:rsidR="00D30569" w:rsidRPr="00D30569" w:rsidRDefault="00D30569" w:rsidP="00D30569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 xml:space="preserve">En función de los plazos que manejamos, para el próximo mes a facturar mantenemos en </w:t>
      </w:r>
      <w:proofErr w:type="spellStart"/>
      <w:r>
        <w:rPr>
          <w:rFonts w:ascii="Arial" w:hAnsi="Arial" w:cs="Arial"/>
          <w:color w:val="auto"/>
        </w:rPr>
        <w:t>standby</w:t>
      </w:r>
      <w:proofErr w:type="spellEnd"/>
      <w:r>
        <w:rPr>
          <w:rFonts w:ascii="Arial" w:hAnsi="Arial" w:cs="Arial"/>
          <w:color w:val="auto"/>
        </w:rPr>
        <w:t xml:space="preserve"> la aplicación de la penalidad como muestra de buena voluntad de parte de la mesa a recibir una pronta propuesta por parte de </w:t>
      </w:r>
      <w:proofErr w:type="spellStart"/>
      <w:r>
        <w:rPr>
          <w:rFonts w:ascii="Arial" w:hAnsi="Arial" w:cs="Arial"/>
          <w:color w:val="auto"/>
        </w:rPr>
        <w:t>Cirion</w:t>
      </w:r>
      <w:proofErr w:type="spellEnd"/>
      <w:r w:rsidR="007C6528">
        <w:rPr>
          <w:rFonts w:ascii="Arial" w:hAnsi="Arial" w:cs="Arial"/>
          <w:color w:val="auto"/>
        </w:rPr>
        <w:t>. Esta decisión es ad referéndum de recibir la propuesta y que pueda ser tratado por la mesa antes de la próxima reunión ordinaria.</w:t>
      </w:r>
    </w:p>
    <w:p w:rsidR="002458C6" w:rsidRPr="002458C6" w:rsidRDefault="007C48AB" w:rsidP="00932BE4">
      <w:pPr>
        <w:pStyle w:val="Prrafodelista"/>
        <w:numPr>
          <w:ilvl w:val="4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Setinc</w:t>
      </w:r>
      <w:proofErr w:type="spellEnd"/>
      <w:r>
        <w:rPr>
          <w:rFonts w:ascii="Arial" w:hAnsi="Arial" w:cs="Arial"/>
          <w:color w:val="auto"/>
          <w:lang w:val="es-AR"/>
        </w:rPr>
        <w:t>.</w:t>
      </w:r>
      <w:r w:rsidR="00D30569">
        <w:rPr>
          <w:rFonts w:ascii="Arial" w:hAnsi="Arial" w:cs="Arial"/>
          <w:color w:val="auto"/>
          <w:lang w:val="es-AR"/>
        </w:rPr>
        <w:t xml:space="preserve"> No tratado. De continuar en el mismo estado se aplican las penalidades.</w:t>
      </w:r>
    </w:p>
    <w:p w:rsidR="00151810" w:rsidRDefault="002458C6" w:rsidP="002458C6">
      <w:pPr>
        <w:pStyle w:val="Prrafodelista"/>
        <w:ind w:left="1069"/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4A67BD" w:rsidRDefault="004A67BD" w:rsidP="004A67BD">
      <w:pPr>
        <w:pStyle w:val="Prrafodelista"/>
        <w:ind w:left="360"/>
        <w:rPr>
          <w:rFonts w:ascii="Arial" w:hAnsi="Arial" w:cs="Arial"/>
          <w:color w:val="auto"/>
        </w:rPr>
      </w:pPr>
    </w:p>
    <w:p w:rsidR="004A67BD" w:rsidRPr="004A67BD" w:rsidRDefault="004A67BD" w:rsidP="004A67BD">
      <w:pPr>
        <w:pStyle w:val="Prrafodelista"/>
        <w:ind w:left="360"/>
        <w:rPr>
          <w:rFonts w:ascii="Arial" w:hAnsi="Arial" w:cs="Arial"/>
          <w:color w:val="auto"/>
        </w:rPr>
      </w:pPr>
      <w:r w:rsidRPr="004A67BD">
        <w:rPr>
          <w:rFonts w:ascii="Arial" w:hAnsi="Arial" w:cs="Arial"/>
          <w:color w:val="auto"/>
        </w:rPr>
        <w:t>CAJA: $ 20.099.889,81.-</w:t>
      </w:r>
      <w:r w:rsidRPr="004A67BD">
        <w:rPr>
          <w:rFonts w:ascii="Arial" w:hAnsi="Arial" w:cs="Arial"/>
          <w:color w:val="auto"/>
        </w:rPr>
        <w:cr/>
        <w:t>FONDO DE RESERVA: $ 91.250.-</w:t>
      </w:r>
      <w:r w:rsidRPr="004A67BD">
        <w:rPr>
          <w:rFonts w:ascii="Arial" w:hAnsi="Arial" w:cs="Arial"/>
          <w:color w:val="auto"/>
        </w:rPr>
        <w:cr/>
      </w:r>
      <w:r w:rsidRPr="004A67BD">
        <w:rPr>
          <w:rFonts w:ascii="Arial" w:hAnsi="Arial" w:cs="Arial"/>
          <w:color w:val="auto"/>
        </w:rPr>
        <w:lastRenderedPageBreak/>
        <w:t>FONDO DE RESERVA: U$S 130.421.-</w:t>
      </w:r>
      <w:r w:rsidRPr="004A67BD">
        <w:rPr>
          <w:rFonts w:ascii="Arial" w:hAnsi="Arial" w:cs="Arial"/>
          <w:color w:val="auto"/>
        </w:rPr>
        <w:cr/>
        <w:t>PLAZO FIJO: $15.983.100,08.-</w:t>
      </w:r>
    </w:p>
    <w:p w:rsidR="002458C6" w:rsidRDefault="004A67BD" w:rsidP="004A67B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DEUDA: </w:t>
      </w:r>
      <w:r w:rsidR="00FB206E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La información de deudores fue adjuntada por administración </w:t>
      </w:r>
      <w:r w:rsidR="00D74DD5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 </w:t>
      </w:r>
      <w:r w:rsidR="00FB206E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</w:t>
      </w:r>
      <w:r w:rsidR="00D74DD5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</w:t>
      </w:r>
      <w:r w:rsidR="00FB206E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BASE a la lista al igual que los detalles de puntos y gastos.</w:t>
      </w:r>
    </w:p>
    <w:p w:rsidR="00986437" w:rsidRDefault="00986437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Cambio de Baterías – </w:t>
      </w:r>
      <w:r w:rsidR="00EA0961">
        <w:rPr>
          <w:rFonts w:ascii="Arial" w:hAnsi="Arial" w:cs="Arial"/>
          <w:color w:val="auto"/>
        </w:rPr>
        <w:t>Presupuestos baterías para mayor autonomía.</w:t>
      </w:r>
      <w:r w:rsidR="005840E0">
        <w:rPr>
          <w:rFonts w:ascii="Arial" w:hAnsi="Arial" w:cs="Arial"/>
          <w:color w:val="auto"/>
        </w:rPr>
        <w:t xml:space="preserve"> Se desestima porque se evaluó</w:t>
      </w:r>
      <w:r w:rsidR="003B4C4D">
        <w:rPr>
          <w:rFonts w:ascii="Arial" w:hAnsi="Arial" w:cs="Arial"/>
          <w:color w:val="auto"/>
        </w:rPr>
        <w:t xml:space="preserve"> peso </w:t>
      </w:r>
      <w:r w:rsidR="005840E0">
        <w:rPr>
          <w:rFonts w:ascii="Arial" w:hAnsi="Arial" w:cs="Arial"/>
          <w:color w:val="auto"/>
        </w:rPr>
        <w:t>sobre el sector y no se recomienda.</w:t>
      </w:r>
    </w:p>
    <w:p w:rsidR="004519E5" w:rsidRDefault="004519E5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AA adicional sala </w:t>
      </w:r>
      <w:proofErr w:type="spellStart"/>
      <w:r>
        <w:rPr>
          <w:rFonts w:ascii="Arial" w:hAnsi="Arial" w:cs="Arial"/>
          <w:color w:val="auto"/>
        </w:rPr>
        <w:t>UPSs</w:t>
      </w:r>
      <w:proofErr w:type="spellEnd"/>
      <w:r>
        <w:rPr>
          <w:rFonts w:ascii="Arial" w:hAnsi="Arial" w:cs="Arial"/>
          <w:color w:val="auto"/>
        </w:rPr>
        <w:t>.</w:t>
      </w:r>
      <w:r w:rsidR="00EA0961">
        <w:rPr>
          <w:rFonts w:ascii="Arial" w:hAnsi="Arial" w:cs="Arial"/>
          <w:color w:val="auto"/>
        </w:rPr>
        <w:t xml:space="preserve"> Se dio OK por mail a última cotización. Status</w:t>
      </w:r>
      <w:r w:rsidR="003039CD">
        <w:rPr>
          <w:rFonts w:ascii="Arial" w:hAnsi="Arial" w:cs="Arial"/>
          <w:color w:val="auto"/>
        </w:rPr>
        <w:t>. Finalizada instalación.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1F3DD2" w:rsidRDefault="00151810" w:rsidP="002458C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Grado de avance. Status</w:t>
      </w:r>
      <w:r w:rsidR="002458C6">
        <w:rPr>
          <w:rFonts w:ascii="Arial" w:hAnsi="Arial" w:cs="Arial"/>
          <w:color w:val="auto"/>
        </w:rPr>
        <w:t xml:space="preserve"> </w:t>
      </w:r>
      <w:r w:rsidR="00397CCE">
        <w:rPr>
          <w:rFonts w:ascii="Arial" w:hAnsi="Arial" w:cs="Arial"/>
          <w:color w:val="auto"/>
        </w:rPr>
        <w:t>–</w:t>
      </w:r>
      <w:r w:rsidR="008D3EB5">
        <w:rPr>
          <w:rFonts w:ascii="Arial" w:hAnsi="Arial" w:cs="Arial"/>
          <w:color w:val="auto"/>
        </w:rPr>
        <w:t xml:space="preserve"> </w:t>
      </w:r>
      <w:r w:rsidR="002458C6">
        <w:rPr>
          <w:rFonts w:ascii="Arial" w:hAnsi="Arial" w:cs="Arial"/>
          <w:color w:val="auto"/>
        </w:rPr>
        <w:t>ATI</w:t>
      </w:r>
      <w:r w:rsidR="00397CCE">
        <w:rPr>
          <w:rFonts w:ascii="Arial" w:hAnsi="Arial" w:cs="Arial"/>
          <w:color w:val="auto"/>
        </w:rPr>
        <w:t xml:space="preserve">. </w:t>
      </w:r>
      <w:r w:rsidR="00EA0961">
        <w:rPr>
          <w:rFonts w:ascii="Arial" w:hAnsi="Arial" w:cs="Arial"/>
          <w:color w:val="auto"/>
        </w:rPr>
        <w:t xml:space="preserve">Status </w:t>
      </w:r>
      <w:proofErr w:type="spellStart"/>
      <w:r w:rsidR="002A41C5">
        <w:rPr>
          <w:rFonts w:ascii="Arial" w:hAnsi="Arial" w:cs="Arial"/>
          <w:color w:val="auto"/>
        </w:rPr>
        <w:t>PDUs</w:t>
      </w:r>
      <w:proofErr w:type="spellEnd"/>
      <w:r w:rsidR="00EA0961">
        <w:rPr>
          <w:rFonts w:ascii="Arial" w:hAnsi="Arial" w:cs="Arial"/>
          <w:color w:val="auto"/>
        </w:rPr>
        <w:t xml:space="preserve"> p</w:t>
      </w:r>
      <w:r w:rsidR="00CF28A2">
        <w:rPr>
          <w:rFonts w:ascii="Arial" w:hAnsi="Arial" w:cs="Arial"/>
          <w:color w:val="auto"/>
        </w:rPr>
        <w:t>endiente</w:t>
      </w:r>
      <w:r w:rsidR="00EA0961">
        <w:rPr>
          <w:rFonts w:ascii="Arial" w:hAnsi="Arial" w:cs="Arial"/>
          <w:color w:val="auto"/>
        </w:rPr>
        <w:t>s</w:t>
      </w:r>
      <w:r w:rsidR="00CF28A2">
        <w:rPr>
          <w:rFonts w:ascii="Arial" w:hAnsi="Arial" w:cs="Arial"/>
          <w:color w:val="auto"/>
        </w:rPr>
        <w:t>.</w:t>
      </w:r>
      <w:r w:rsidR="003039CD">
        <w:rPr>
          <w:rFonts w:ascii="Arial" w:hAnsi="Arial" w:cs="Arial"/>
          <w:color w:val="auto"/>
        </w:rPr>
        <w:t xml:space="preserve"> Finalizado.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cableado </w:t>
      </w:r>
      <w:proofErr w:type="spellStart"/>
      <w:r>
        <w:rPr>
          <w:rFonts w:ascii="Arial" w:hAnsi="Arial" w:cs="Arial"/>
          <w:color w:val="auto"/>
        </w:rPr>
        <w:t>intersala</w:t>
      </w:r>
      <w:proofErr w:type="spellEnd"/>
      <w:r>
        <w:rPr>
          <w:rFonts w:ascii="Arial" w:hAnsi="Arial" w:cs="Arial"/>
          <w:color w:val="auto"/>
        </w:rPr>
        <w:t>. Status</w:t>
      </w:r>
      <w:r w:rsidR="002B3256">
        <w:rPr>
          <w:rFonts w:ascii="Arial" w:hAnsi="Arial" w:cs="Arial"/>
          <w:color w:val="auto"/>
        </w:rPr>
        <w:t>.</w:t>
      </w:r>
      <w:r w:rsidR="003B4C4D">
        <w:rPr>
          <w:rFonts w:ascii="Arial" w:hAnsi="Arial" w:cs="Arial"/>
          <w:color w:val="auto"/>
        </w:rPr>
        <w:t xml:space="preserve"> </w:t>
      </w:r>
      <w:r w:rsidR="003039CD">
        <w:rPr>
          <w:rFonts w:ascii="Arial" w:hAnsi="Arial" w:cs="Arial"/>
          <w:color w:val="auto"/>
        </w:rPr>
        <w:t>Se autorizan 2</w:t>
      </w:r>
      <w:r w:rsidR="003B4C4D">
        <w:rPr>
          <w:rFonts w:ascii="Arial" w:hAnsi="Arial" w:cs="Arial"/>
          <w:color w:val="auto"/>
        </w:rPr>
        <w:t>.</w:t>
      </w:r>
      <w:r w:rsidR="003039CD">
        <w:rPr>
          <w:rFonts w:ascii="Arial" w:hAnsi="Arial" w:cs="Arial"/>
          <w:color w:val="auto"/>
        </w:rPr>
        <w:t>000USD</w:t>
      </w:r>
    </w:p>
    <w:p w:rsidR="00130640" w:rsidRDefault="00D57D4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Sistema i</w:t>
      </w:r>
      <w:r w:rsidR="002B3256">
        <w:rPr>
          <w:rFonts w:ascii="Arial" w:hAnsi="Arial" w:cs="Arial"/>
          <w:color w:val="auto"/>
        </w:rPr>
        <w:t>ncendio sala vieja – Cotización. Se dio OK por mail. Status.</w:t>
      </w:r>
      <w:r w:rsidR="003B4C4D">
        <w:rPr>
          <w:rFonts w:ascii="Arial" w:hAnsi="Arial" w:cs="Arial"/>
          <w:color w:val="auto"/>
        </w:rPr>
        <w:t xml:space="preserve"> Finalizado.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 xml:space="preserve">Reordenamiento </w:t>
      </w:r>
      <w:proofErr w:type="spellStart"/>
      <w:r>
        <w:rPr>
          <w:rFonts w:ascii="Arial" w:hAnsi="Arial" w:cs="Arial"/>
          <w:color w:val="D9D9D9" w:themeColor="background1" w:themeShade="D9"/>
        </w:rPr>
        <w:t>Metrotel</w:t>
      </w:r>
      <w:proofErr w:type="spellEnd"/>
      <w:r>
        <w:rPr>
          <w:rFonts w:ascii="Arial" w:hAnsi="Arial" w:cs="Arial"/>
          <w:color w:val="D9D9D9" w:themeColor="background1" w:themeShade="D9"/>
        </w:rPr>
        <w:t>. Status.</w:t>
      </w:r>
    </w:p>
    <w:p w:rsidR="001F3DD2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3B4C4D">
        <w:rPr>
          <w:rFonts w:ascii="Arial" w:hAnsi="Arial" w:cs="Arial"/>
          <w:color w:val="auto"/>
          <w:lang w:val="es-AR"/>
        </w:rPr>
        <w:t xml:space="preserve">Mudanza </w:t>
      </w:r>
      <w:r w:rsidRPr="004E567C">
        <w:rPr>
          <w:rFonts w:ascii="Arial" w:hAnsi="Arial" w:cs="Arial"/>
          <w:color w:val="auto"/>
          <w:lang w:val="en-US"/>
        </w:rPr>
        <w:t xml:space="preserve">a meet me </w:t>
      </w:r>
      <w:r w:rsidRPr="003C39AA">
        <w:rPr>
          <w:rFonts w:ascii="Arial" w:hAnsi="Arial" w:cs="Arial"/>
          <w:color w:val="auto"/>
          <w:lang w:val="en-US"/>
        </w:rPr>
        <w:t xml:space="preserve">room. </w:t>
      </w:r>
      <w:r>
        <w:rPr>
          <w:rFonts w:ascii="Arial" w:hAnsi="Arial" w:cs="Arial"/>
          <w:color w:val="auto"/>
          <w:lang w:val="es-AR"/>
        </w:rPr>
        <w:t>Status.</w:t>
      </w:r>
      <w:r w:rsidR="003C39AA">
        <w:rPr>
          <w:rFonts w:ascii="Arial" w:hAnsi="Arial" w:cs="Arial"/>
          <w:color w:val="auto"/>
          <w:lang w:val="es-AR"/>
        </w:rPr>
        <w:t xml:space="preserve"> </w:t>
      </w:r>
      <w:r w:rsidR="003B4C4D">
        <w:rPr>
          <w:rFonts w:ascii="Arial" w:hAnsi="Arial" w:cs="Arial"/>
          <w:color w:val="auto"/>
          <w:lang w:val="es-AR"/>
        </w:rPr>
        <w:t>No tratado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2B3256" w:rsidRPr="002B3256" w:rsidRDefault="002B3256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auto"/>
        </w:rPr>
        <w:t>Contratación</w:t>
      </w:r>
      <w:r w:rsidR="00151810" w:rsidRPr="00D57D49">
        <w:rPr>
          <w:rFonts w:ascii="Arial" w:hAnsi="Arial" w:cs="Arial"/>
          <w:color w:val="auto"/>
        </w:rPr>
        <w:t xml:space="preserve"> de Ingeniero para BUE. Status.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1F3DD2" w:rsidRDefault="00151810" w:rsidP="00483622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Elaboración de procesos</w:t>
      </w:r>
    </w:p>
    <w:p w:rsidR="008847BD" w:rsidRDefault="00483622" w:rsidP="007006B3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8847BD">
        <w:rPr>
          <w:rFonts w:ascii="Arial" w:hAnsi="Arial" w:cs="Arial"/>
          <w:color w:val="auto"/>
        </w:rPr>
        <w:t>PAT OGB – Status.</w:t>
      </w:r>
      <w:r w:rsidR="0058100F">
        <w:rPr>
          <w:rFonts w:ascii="Arial" w:hAnsi="Arial" w:cs="Arial"/>
          <w:color w:val="auto"/>
        </w:rPr>
        <w:t xml:space="preserve"> No tratado.</w:t>
      </w:r>
    </w:p>
    <w:p w:rsidR="002B3256" w:rsidRDefault="008847BD" w:rsidP="008847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Documento de </w:t>
      </w:r>
      <w:r w:rsidR="001D109D" w:rsidRPr="008847BD">
        <w:rPr>
          <w:rFonts w:ascii="Arial" w:hAnsi="Arial" w:cs="Arial"/>
          <w:color w:val="auto"/>
        </w:rPr>
        <w:t>mecanismo propuesto por CT BUE para horarios y mecanismos de cableado en Sala de IXP</w:t>
      </w:r>
      <w:r>
        <w:rPr>
          <w:rFonts w:ascii="Arial" w:hAnsi="Arial" w:cs="Arial"/>
          <w:color w:val="auto"/>
        </w:rPr>
        <w:t xml:space="preserve"> incluye provisión de patchcords</w:t>
      </w:r>
      <w:r w:rsidR="001D109D" w:rsidRPr="008847BD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>Status</w:t>
      </w:r>
      <w:r w:rsidR="002B3256">
        <w:rPr>
          <w:rFonts w:ascii="Arial" w:hAnsi="Arial" w:cs="Arial"/>
          <w:color w:val="auto"/>
        </w:rPr>
        <w:t>.</w:t>
      </w:r>
      <w:r w:rsidR="0058100F">
        <w:rPr>
          <w:rFonts w:ascii="Arial" w:hAnsi="Arial" w:cs="Arial"/>
          <w:color w:val="auto"/>
        </w:rPr>
        <w:t xml:space="preserve"> No tratado.</w:t>
      </w:r>
    </w:p>
    <w:p w:rsidR="001F3DD2" w:rsidRDefault="001F3DD2">
      <w:pPr>
        <w:pStyle w:val="Prrafodelista"/>
        <w:ind w:left="1069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PRÓXIMA REUNIÓN IXP-BUE: </w:t>
      </w:r>
      <w:r w:rsidR="004A46A6">
        <w:rPr>
          <w:rFonts w:ascii="Arial" w:hAnsi="Arial" w:cs="Arial"/>
          <w:color w:val="auto"/>
        </w:rPr>
        <w:t>18-05-2023</w:t>
      </w:r>
      <w:bookmarkStart w:id="0" w:name="_GoBack"/>
      <w:bookmarkEnd w:id="0"/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56835"/>
    <w:rsid w:val="000B456D"/>
    <w:rsid w:val="000B6C60"/>
    <w:rsid w:val="000E31B5"/>
    <w:rsid w:val="00130640"/>
    <w:rsid w:val="001377CB"/>
    <w:rsid w:val="00151810"/>
    <w:rsid w:val="001537D0"/>
    <w:rsid w:val="001D109D"/>
    <w:rsid w:val="001F3DD2"/>
    <w:rsid w:val="001F51B9"/>
    <w:rsid w:val="0021176A"/>
    <w:rsid w:val="00232E3F"/>
    <w:rsid w:val="002458C6"/>
    <w:rsid w:val="002A41C5"/>
    <w:rsid w:val="002B3256"/>
    <w:rsid w:val="002D0B86"/>
    <w:rsid w:val="002D5490"/>
    <w:rsid w:val="002F3EDF"/>
    <w:rsid w:val="003039CD"/>
    <w:rsid w:val="003410F0"/>
    <w:rsid w:val="0034404D"/>
    <w:rsid w:val="00383CBB"/>
    <w:rsid w:val="00397CCE"/>
    <w:rsid w:val="003B4C4D"/>
    <w:rsid w:val="003C39AA"/>
    <w:rsid w:val="003D4717"/>
    <w:rsid w:val="00405265"/>
    <w:rsid w:val="00430071"/>
    <w:rsid w:val="00440049"/>
    <w:rsid w:val="004519E5"/>
    <w:rsid w:val="004601CA"/>
    <w:rsid w:val="00483622"/>
    <w:rsid w:val="004A46A6"/>
    <w:rsid w:val="004A67BD"/>
    <w:rsid w:val="004A7B79"/>
    <w:rsid w:val="004E567C"/>
    <w:rsid w:val="004E783E"/>
    <w:rsid w:val="004F36EF"/>
    <w:rsid w:val="0058100F"/>
    <w:rsid w:val="005840E0"/>
    <w:rsid w:val="005F111C"/>
    <w:rsid w:val="00616065"/>
    <w:rsid w:val="007006B3"/>
    <w:rsid w:val="007B6485"/>
    <w:rsid w:val="007C48AB"/>
    <w:rsid w:val="007C6528"/>
    <w:rsid w:val="00801FAF"/>
    <w:rsid w:val="00846116"/>
    <w:rsid w:val="00876723"/>
    <w:rsid w:val="008847BD"/>
    <w:rsid w:val="008D3EB5"/>
    <w:rsid w:val="008E4892"/>
    <w:rsid w:val="009128AD"/>
    <w:rsid w:val="00932BE4"/>
    <w:rsid w:val="00986437"/>
    <w:rsid w:val="009925C2"/>
    <w:rsid w:val="009F6819"/>
    <w:rsid w:val="00A10B54"/>
    <w:rsid w:val="00A22B2A"/>
    <w:rsid w:val="00A45BEE"/>
    <w:rsid w:val="00A70773"/>
    <w:rsid w:val="00AD62D8"/>
    <w:rsid w:val="00B02386"/>
    <w:rsid w:val="00B724B6"/>
    <w:rsid w:val="00BF5B2D"/>
    <w:rsid w:val="00C45F5C"/>
    <w:rsid w:val="00C469D2"/>
    <w:rsid w:val="00C80B36"/>
    <w:rsid w:val="00C82B28"/>
    <w:rsid w:val="00C83EF0"/>
    <w:rsid w:val="00C841D3"/>
    <w:rsid w:val="00C9353A"/>
    <w:rsid w:val="00CA1712"/>
    <w:rsid w:val="00CF28A2"/>
    <w:rsid w:val="00D30569"/>
    <w:rsid w:val="00D57D49"/>
    <w:rsid w:val="00D74DD5"/>
    <w:rsid w:val="00DE7483"/>
    <w:rsid w:val="00E907BA"/>
    <w:rsid w:val="00EA0961"/>
    <w:rsid w:val="00EA3CF3"/>
    <w:rsid w:val="00ED11F6"/>
    <w:rsid w:val="00F0537E"/>
    <w:rsid w:val="00F80B8E"/>
    <w:rsid w:val="00F82CDB"/>
    <w:rsid w:val="00F96085"/>
    <w:rsid w:val="00FA4A1A"/>
    <w:rsid w:val="00FB206E"/>
    <w:rsid w:val="00FB635A"/>
    <w:rsid w:val="00FC7C1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6BE47-8E68-453C-8C82-1C3DADE1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17</cp:revision>
  <dcterms:created xsi:type="dcterms:W3CDTF">2023-04-19T12:25:00Z</dcterms:created>
  <dcterms:modified xsi:type="dcterms:W3CDTF">2023-04-20T17:32:00Z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