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73169375" w:rsidR="001F3DD2" w:rsidRDefault="00627AEB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</w:t>
      </w:r>
      <w:r w:rsidR="006265B1">
        <w:rPr>
          <w:rFonts w:ascii="Courier New" w:hAnsi="Courier New" w:cs="Courier New"/>
          <w:b/>
        </w:rPr>
        <w:t>4</w:t>
      </w:r>
      <w:r w:rsidR="00E110BB">
        <w:rPr>
          <w:rFonts w:ascii="Courier New" w:hAnsi="Courier New" w:cs="Courier New"/>
          <w:b/>
        </w:rPr>
        <w:t>-</w:t>
      </w:r>
      <w:r w:rsidR="000A0EEC">
        <w:rPr>
          <w:rFonts w:ascii="Courier New" w:hAnsi="Courier New" w:cs="Courier New"/>
          <w:b/>
        </w:rPr>
        <w:t>0</w:t>
      </w:r>
      <w:r w:rsidR="006265B1">
        <w:rPr>
          <w:rFonts w:ascii="Courier New" w:hAnsi="Courier New" w:cs="Courier New"/>
          <w:b/>
        </w:rPr>
        <w:t>4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776D6627" w14:textId="77777777" w:rsidR="006265B1" w:rsidRDefault="006265B1">
      <w:pPr>
        <w:ind w:left="708" w:firstLine="708"/>
        <w:jc w:val="center"/>
        <w:rPr>
          <w:rFonts w:ascii="Courier New" w:hAnsi="Courier New" w:cs="Courier New"/>
          <w:b/>
        </w:rPr>
      </w:pP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0030343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Sin novedad</w:t>
      </w:r>
    </w:p>
    <w:p w14:paraId="020F2931" w14:textId="4BD6E153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3A5101">
        <w:rPr>
          <w:rFonts w:ascii="Arial" w:hAnsi="Arial" w:cs="Arial"/>
          <w:color w:val="auto"/>
        </w:rPr>
        <w:t>Sin novedad</w:t>
      </w:r>
    </w:p>
    <w:p w14:paraId="6784AB80" w14:textId="5CF6FA0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  <w:r w:rsidR="003A5101">
        <w:rPr>
          <w:rFonts w:ascii="Arial" w:hAnsi="Arial" w:cs="Arial"/>
          <w:color w:val="auto"/>
        </w:rPr>
        <w:t>Sin novedad</w:t>
      </w:r>
    </w:p>
    <w:p w14:paraId="0F93CB29" w14:textId="79ED74C4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3A5101">
        <w:rPr>
          <w:rFonts w:ascii="Arial" w:hAnsi="Arial" w:cs="Arial"/>
          <w:color w:val="auto"/>
        </w:rPr>
        <w:t>Sin novedad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17AF444F" w14:textId="4F83E0ED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3A5101">
        <w:rPr>
          <w:rFonts w:ascii="Arial" w:hAnsi="Arial" w:cs="Arial"/>
          <w:b/>
          <w:bCs/>
          <w:color w:val="auto"/>
        </w:rPr>
        <w:t>Caja $ 96.076.449,50.-</w:t>
      </w:r>
      <w:r w:rsidRPr="003A5101">
        <w:rPr>
          <w:rFonts w:ascii="Arial" w:hAnsi="Arial" w:cs="Arial"/>
          <w:b/>
          <w:bCs/>
          <w:color w:val="auto"/>
        </w:rPr>
        <w:br/>
        <w:t>Facturado no cobrado $ 72.953.134,27.-  </w:t>
      </w:r>
      <w:r w:rsidRPr="003A5101">
        <w:rPr>
          <w:rFonts w:ascii="Arial" w:hAnsi="Arial" w:cs="Arial"/>
          <w:b/>
          <w:bCs/>
          <w:color w:val="auto"/>
        </w:rPr>
        <w:br/>
        <w:t xml:space="preserve">Fondo de reserva $ $ 313.654.951,31.- </w:t>
      </w:r>
      <w:r w:rsidRPr="003A5101">
        <w:rPr>
          <w:rFonts w:ascii="Arial" w:hAnsi="Arial" w:cs="Arial"/>
          <w:b/>
          <w:bCs/>
          <w:color w:val="auto"/>
        </w:rPr>
        <w:br/>
        <w:t>Fondo de reserva USD 127.244,17.-</w:t>
      </w:r>
    </w:p>
    <w:p w14:paraId="7CE9325B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77D0FBBA" w14:textId="44B0C4E3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Se </w:t>
      </w:r>
      <w:r w:rsidR="00A35845">
        <w:rPr>
          <w:rFonts w:ascii="Arial" w:hAnsi="Arial" w:cs="Arial"/>
          <w:color w:val="auto"/>
        </w:rPr>
        <w:t xml:space="preserve">solicita </w:t>
      </w:r>
      <w:r>
        <w:rPr>
          <w:rFonts w:ascii="Arial" w:hAnsi="Arial" w:cs="Arial"/>
          <w:color w:val="auto"/>
        </w:rPr>
        <w:t>a Administración</w:t>
      </w:r>
      <w:r w:rsidR="00A35845">
        <w:rPr>
          <w:rFonts w:ascii="Arial" w:hAnsi="Arial" w:cs="Arial"/>
          <w:color w:val="auto"/>
        </w:rPr>
        <w:t xml:space="preserve"> revise con el banco posibilidades de dolarización de los fondos de reserva.</w:t>
      </w:r>
      <w:r>
        <w:rPr>
          <w:rFonts w:ascii="Arial" w:hAnsi="Arial" w:cs="Arial"/>
          <w:color w:val="auto"/>
        </w:rPr>
        <w:t xml:space="preserve"> </w:t>
      </w:r>
      <w:r w:rsidR="00C16151" w:rsidRPr="006B5AFB">
        <w:rPr>
          <w:rFonts w:ascii="Arial" w:hAnsi="Arial" w:cs="Arial"/>
          <w:color w:val="auto"/>
        </w:rPr>
        <w:br/>
      </w:r>
      <w:r w:rsidR="00C16151" w:rsidRPr="00C16151">
        <w:rPr>
          <w:rFonts w:ascii="Arial" w:hAnsi="Arial" w:cs="Arial"/>
          <w:b/>
          <w:bCs/>
          <w:color w:val="auto"/>
        </w:rPr>
        <w:t> </w:t>
      </w:r>
      <w:r w:rsidR="00C16151" w:rsidRPr="00C16151">
        <w:rPr>
          <w:rFonts w:ascii="Arial" w:hAnsi="Arial" w:cs="Arial"/>
          <w:b/>
          <w:bCs/>
          <w:color w:val="auto"/>
        </w:rPr>
        <w:br/>
        <w:t>Socio que deban más de 3 facturas</w:t>
      </w: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DC08571" w14:textId="5BFCCE76" w:rsidR="006D4593" w:rsidRPr="006B5AFB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3A5101">
        <w:rPr>
          <w:rFonts w:ascii="Arial" w:hAnsi="Arial" w:cs="Arial"/>
          <w:b/>
          <w:bCs/>
          <w:color w:val="auto"/>
        </w:rPr>
        <w:t>ALL SOLUTIONS S.A.S. (está pagando)</w:t>
      </w:r>
      <w:r w:rsidRPr="003A5101">
        <w:rPr>
          <w:rFonts w:ascii="Arial" w:hAnsi="Arial" w:cs="Arial"/>
          <w:b/>
          <w:bCs/>
          <w:color w:val="auto"/>
        </w:rPr>
        <w:br/>
        <w:t>ARPA NET RAMALLO S.A.</w:t>
      </w:r>
      <w:r w:rsidRPr="003A5101">
        <w:rPr>
          <w:rFonts w:ascii="Arial" w:hAnsi="Arial" w:cs="Arial"/>
          <w:b/>
          <w:bCs/>
          <w:color w:val="auto"/>
        </w:rPr>
        <w:br/>
        <w:t>COOPDE PROVISDE O.Y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3A5101">
        <w:rPr>
          <w:rFonts w:ascii="Arial" w:hAnsi="Arial" w:cs="Arial"/>
          <w:b/>
          <w:bCs/>
          <w:color w:val="auto"/>
        </w:rPr>
        <w:t>SERV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3A5101">
        <w:rPr>
          <w:rFonts w:ascii="Arial" w:hAnsi="Arial" w:cs="Arial"/>
          <w:b/>
          <w:bCs/>
          <w:color w:val="auto"/>
        </w:rPr>
        <w:t>PCOS PEREZ</w:t>
      </w:r>
      <w:r>
        <w:rPr>
          <w:rFonts w:ascii="Arial" w:hAnsi="Arial" w:cs="Arial"/>
          <w:b/>
          <w:bCs/>
          <w:color w:val="auto"/>
        </w:rPr>
        <w:t xml:space="preserve"> MILLAN</w:t>
      </w:r>
      <w:r w:rsidRPr="003A5101">
        <w:rPr>
          <w:rFonts w:ascii="Arial" w:hAnsi="Arial" w:cs="Arial"/>
          <w:b/>
          <w:bCs/>
          <w:color w:val="auto"/>
        </w:rPr>
        <w:br/>
        <w:t>HUAWEI INTERNATIONAL PTE. LTD</w:t>
      </w:r>
      <w:r w:rsidRPr="003A5101">
        <w:rPr>
          <w:rFonts w:ascii="Arial" w:hAnsi="Arial" w:cs="Arial"/>
          <w:b/>
          <w:bCs/>
          <w:color w:val="auto"/>
        </w:rPr>
        <w:br/>
        <w:t>KAOPU CLOUD HK LIMITED KAOPU</w:t>
      </w:r>
      <w:r w:rsidR="00C16151" w:rsidRPr="00C16151">
        <w:rPr>
          <w:rFonts w:ascii="Arial" w:hAnsi="Arial" w:cs="Arial"/>
          <w:b/>
          <w:bCs/>
          <w:color w:val="auto"/>
        </w:rPr>
        <w:br/>
      </w: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2038B15" w14:textId="3437504A" w:rsidR="00FE334A" w:rsidRPr="00817001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5345B6" w:rsidRPr="00A02809">
        <w:rPr>
          <w:rFonts w:ascii="Arial" w:hAnsi="Arial" w:cs="Arial"/>
          <w:color w:val="auto"/>
          <w:lang w:val="es-AR"/>
        </w:rPr>
        <w:t xml:space="preserve">Status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  <w:r w:rsidR="00FE334A">
        <w:rPr>
          <w:rFonts w:ascii="Arial" w:hAnsi="Arial" w:cs="Arial"/>
          <w:color w:val="auto"/>
          <w:lang w:val="es-AR"/>
        </w:rPr>
        <w:t>. Fase meetme room</w:t>
      </w:r>
      <w:r w:rsidR="00205662">
        <w:rPr>
          <w:rFonts w:ascii="Arial" w:hAnsi="Arial" w:cs="Arial"/>
          <w:color w:val="auto"/>
          <w:lang w:val="es-AR"/>
        </w:rPr>
        <w:t>. En curso. Se retrasa por la necesidad de cables que llegarán en 2 semanas.</w:t>
      </w:r>
      <w:r w:rsidR="00817001">
        <w:rPr>
          <w:rFonts w:ascii="Arial" w:hAnsi="Arial" w:cs="Arial"/>
          <w:color w:val="auto"/>
          <w:lang w:val="es-AR"/>
        </w:rPr>
        <w:t xml:space="preserve"> Metrotel se mudará de rack 5 a rack 9 con acuerdo de ellos y DWDM a sala Mundial (sala nueva). CTBUE está en contacto con ellos para poder acordar fechas. CABASE propone Junio/Julio pero al momento no hay acuerdo.</w:t>
      </w:r>
    </w:p>
    <w:p w14:paraId="052186D5" w14:textId="56A03C0D" w:rsidR="00817001" w:rsidRPr="00817001" w:rsidRDefault="00817001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817001">
        <w:rPr>
          <w:rFonts w:ascii="Arial" w:hAnsi="Arial" w:cs="Arial"/>
          <w:color w:val="auto"/>
          <w:lang w:val="es-AR"/>
        </w:rPr>
        <w:t>Llegaron pedidos de ampliación de Telecentro que requiere que lo descripto para Metrotel ocurra antes.</w:t>
      </w:r>
    </w:p>
    <w:p w14:paraId="34A0CC99" w14:textId="0D35C7F6" w:rsidR="00817001" w:rsidRDefault="00817001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817001">
        <w:rPr>
          <w:rFonts w:ascii="Arial" w:hAnsi="Arial" w:cs="Arial"/>
          <w:color w:val="auto"/>
          <w:lang w:val="es-AR"/>
        </w:rPr>
        <w:t>Linkear quiere poner equipos DWDM en sala Mundial para transporte de miembros. Está alineado con lo definido.</w:t>
      </w:r>
    </w:p>
    <w:p w14:paraId="55848847" w14:textId="061ED5A9" w:rsidR="00F03E01" w:rsidRPr="00F03E01" w:rsidRDefault="00F03E01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color w:val="auto"/>
          <w:lang w:val="es-AR"/>
        </w:rPr>
      </w:pPr>
      <w:r w:rsidRPr="00F03E01">
        <w:rPr>
          <w:rFonts w:ascii="Arial" w:hAnsi="Arial" w:cs="Arial"/>
          <w:color w:val="auto"/>
          <w:lang w:val="es-AR"/>
        </w:rPr>
        <w:t>Advantum está migrando de rack 2 al 10. Nahuel menciona la necesidad de no</w:t>
      </w:r>
      <w:r>
        <w:rPr>
          <w:rFonts w:ascii="Arial" w:hAnsi="Arial" w:cs="Arial"/>
          <w:color w:val="auto"/>
          <w:lang w:val="es-AR"/>
        </w:rPr>
        <w:t xml:space="preserve"> </w:t>
      </w:r>
      <w:r w:rsidR="00114844">
        <w:rPr>
          <w:rFonts w:ascii="Arial" w:hAnsi="Arial" w:cs="Arial"/>
          <w:color w:val="auto"/>
          <w:lang w:val="es-AR"/>
        </w:rPr>
        <w:t>trasladar algunos de los errores que hoy podríamos tener. Se va a conversar con Andrés en forma privada.</w:t>
      </w:r>
    </w:p>
    <w:p w14:paraId="0394466E" w14:textId="77777777" w:rsidR="00817001" w:rsidRPr="00F03E01" w:rsidRDefault="00817001" w:rsidP="00817001">
      <w:pPr>
        <w:pStyle w:val="Prrafodelista"/>
        <w:ind w:left="1069"/>
        <w:jc w:val="both"/>
        <w:rPr>
          <w:rFonts w:ascii="Arial" w:hAnsi="Arial" w:cs="Arial"/>
          <w:b/>
          <w:bCs/>
          <w:color w:val="auto"/>
          <w:lang w:val="es-AR"/>
        </w:rPr>
      </w:pPr>
    </w:p>
    <w:p w14:paraId="2CB07FA7" w14:textId="2A590E01" w:rsidR="009132D3" w:rsidRPr="00817001" w:rsidRDefault="00DF0F4F" w:rsidP="00817001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FE334A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FE334A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FE334A">
        <w:rPr>
          <w:rFonts w:ascii="Arial" w:hAnsi="Arial" w:cs="Arial"/>
          <w:color w:val="auto"/>
          <w:lang w:val="es-AR"/>
        </w:rPr>
        <w:t>Status</w:t>
      </w:r>
      <w:r w:rsidR="00B6004E" w:rsidRPr="00FE334A">
        <w:rPr>
          <w:rFonts w:ascii="Arial" w:hAnsi="Arial" w:cs="Arial"/>
          <w:color w:val="auto"/>
          <w:lang w:val="es-AR"/>
        </w:rPr>
        <w:t>.</w:t>
      </w:r>
      <w:r w:rsidR="001133BB" w:rsidRPr="00817001">
        <w:rPr>
          <w:rFonts w:ascii="Arial" w:hAnsi="Arial" w:cs="Arial"/>
          <w:color w:val="auto"/>
          <w:lang w:val="es-AR"/>
        </w:rPr>
        <w:t xml:space="preserve"> </w:t>
      </w:r>
      <w:r w:rsidR="00ED6E56">
        <w:rPr>
          <w:rFonts w:ascii="Arial" w:hAnsi="Arial" w:cs="Arial"/>
          <w:color w:val="auto"/>
          <w:lang w:val="es-AR"/>
        </w:rPr>
        <w:t xml:space="preserve">Los trabajos están </w:t>
      </w:r>
      <w:r w:rsidR="00BE1632">
        <w:rPr>
          <w:rFonts w:ascii="Arial" w:hAnsi="Arial" w:cs="Arial"/>
          <w:color w:val="auto"/>
          <w:lang w:val="es-AR"/>
        </w:rPr>
        <w:t>encaminados,</w:t>
      </w:r>
      <w:r w:rsidR="00ED6E56">
        <w:rPr>
          <w:rFonts w:ascii="Arial" w:hAnsi="Arial" w:cs="Arial"/>
          <w:color w:val="auto"/>
          <w:lang w:val="es-AR"/>
        </w:rPr>
        <w:t xml:space="preserve"> pero </w:t>
      </w:r>
      <w:r w:rsidR="00BE1632">
        <w:rPr>
          <w:rFonts w:ascii="Arial" w:hAnsi="Arial" w:cs="Arial"/>
          <w:color w:val="auto"/>
          <w:lang w:val="es-AR"/>
        </w:rPr>
        <w:t>aún</w:t>
      </w:r>
      <w:r w:rsidR="00ED6E56">
        <w:rPr>
          <w:rFonts w:ascii="Arial" w:hAnsi="Arial" w:cs="Arial"/>
          <w:color w:val="auto"/>
          <w:lang w:val="es-AR"/>
        </w:rPr>
        <w:t xml:space="preserve"> si</w:t>
      </w:r>
      <w:r w:rsidR="00B11176">
        <w:rPr>
          <w:rFonts w:ascii="Arial" w:hAnsi="Arial" w:cs="Arial"/>
          <w:color w:val="auto"/>
          <w:lang w:val="es-AR"/>
        </w:rPr>
        <w:t>n</w:t>
      </w:r>
      <w:r w:rsidR="00ED6E56">
        <w:rPr>
          <w:rFonts w:ascii="Arial" w:hAnsi="Arial" w:cs="Arial"/>
          <w:color w:val="auto"/>
          <w:lang w:val="es-AR"/>
        </w:rPr>
        <w:t xml:space="preserve"> fecha de finalización.</w:t>
      </w:r>
      <w:r w:rsidR="00E94E30">
        <w:rPr>
          <w:rFonts w:ascii="Arial" w:hAnsi="Arial" w:cs="Arial"/>
          <w:color w:val="auto"/>
          <w:lang w:val="es-AR"/>
        </w:rPr>
        <w:t xml:space="preserve"> El paso del verano </w:t>
      </w:r>
      <w:r w:rsidR="00BE1632">
        <w:rPr>
          <w:rFonts w:ascii="Arial" w:hAnsi="Arial" w:cs="Arial"/>
          <w:color w:val="auto"/>
          <w:lang w:val="es-AR"/>
        </w:rPr>
        <w:t>habilita a</w:t>
      </w:r>
      <w:r w:rsidR="00E94E30">
        <w:rPr>
          <w:rFonts w:ascii="Arial" w:hAnsi="Arial" w:cs="Arial"/>
          <w:color w:val="auto"/>
          <w:lang w:val="es-AR"/>
        </w:rPr>
        <w:t xml:space="preserve"> autorizar algunos equipos.</w:t>
      </w:r>
      <w:r w:rsidR="00A119F2">
        <w:rPr>
          <w:rFonts w:ascii="Arial" w:hAnsi="Arial" w:cs="Arial"/>
          <w:color w:val="auto"/>
          <w:lang w:val="es-AR"/>
        </w:rPr>
        <w:t xml:space="preserve"> SyT mandará presupuesto para poner bajo grupo en NOC.</w:t>
      </w:r>
    </w:p>
    <w:p w14:paraId="2F50294F" w14:textId="77777777" w:rsidR="00817001" w:rsidRPr="00817001" w:rsidRDefault="00817001" w:rsidP="00817001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5EC05B8F" w14:textId="77777777" w:rsidR="00E94E30" w:rsidRPr="00E94E30" w:rsidRDefault="00E94E30" w:rsidP="00E94E30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4856002" w14:textId="77777777" w:rsidR="00E94E30" w:rsidRPr="00A119F2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576CA4F0" w14:textId="3C75546F" w:rsidR="00805B5B" w:rsidRPr="00805B5B" w:rsidRDefault="00805B5B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Se autoriza compra de 24 modulos de 100G por 2.400USD en total.</w:t>
      </w: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3E9D5663" w14:textId="77777777" w:rsidR="00A432A7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</w:p>
    <w:p w14:paraId="7AA26164" w14:textId="082C51D8" w:rsidR="00B459C3" w:rsidRDefault="00B459C3" w:rsidP="00B459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Cirion Antel – Esta configurado. Solo faltan detalles.</w:t>
      </w:r>
    </w:p>
    <w:p w14:paraId="3B4D4B7E" w14:textId="23DE495E" w:rsidR="00B459C3" w:rsidRDefault="00B459C3" w:rsidP="00B459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B459C3">
        <w:rPr>
          <w:rFonts w:ascii="Arial" w:hAnsi="Arial" w:cs="Arial"/>
          <w:color w:val="auto"/>
          <w:lang w:val="es-AR"/>
        </w:rPr>
        <w:t>Advantum Talar, Benavides, Pacheco: CABASE pasó la info necesaria. Advantum confirma que están ligados a la migración descripta más</w:t>
      </w:r>
      <w:r>
        <w:rPr>
          <w:rFonts w:ascii="Arial" w:hAnsi="Arial" w:cs="Arial"/>
          <w:color w:val="auto"/>
          <w:lang w:val="es-AR"/>
        </w:rPr>
        <w:t xml:space="preserve"> arriba.</w:t>
      </w:r>
    </w:p>
    <w:p w14:paraId="4D54183A" w14:textId="0CEE167A" w:rsidR="00F87DF3" w:rsidRPr="00C21BA1" w:rsidRDefault="00F87DF3" w:rsidP="00F87D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Hernan S pide la info para sumarlo a la </w:t>
      </w:r>
      <w:r w:rsidR="000F4167">
        <w:rPr>
          <w:rFonts w:ascii="Arial" w:hAnsi="Arial" w:cs="Arial"/>
          <w:color w:val="auto"/>
          <w:lang w:val="es-AR"/>
        </w:rPr>
        <w:t>página</w:t>
      </w:r>
      <w:r>
        <w:rPr>
          <w:rFonts w:ascii="Arial" w:hAnsi="Arial" w:cs="Arial"/>
          <w:color w:val="auto"/>
          <w:lang w:val="es-AR"/>
        </w:rPr>
        <w:t xml:space="preserve"> web</w:t>
      </w:r>
      <w:r>
        <w:rPr>
          <w:rFonts w:ascii="Arial" w:hAnsi="Arial" w:cs="Arial"/>
          <w:color w:val="auto"/>
          <w:lang w:val="es-AR"/>
        </w:rPr>
        <w:t xml:space="preserve"> de CABASE</w:t>
      </w:r>
    </w:p>
    <w:p w14:paraId="610664C1" w14:textId="77777777" w:rsidR="00F87DF3" w:rsidRPr="00B459C3" w:rsidRDefault="00F87DF3" w:rsidP="00F87DF3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44925FDE" w14:textId="79BCDFD0" w:rsidR="006F7EE0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4700B0">
        <w:rPr>
          <w:rFonts w:ascii="Arial" w:hAnsi="Arial" w:cs="Arial"/>
          <w:color w:val="auto"/>
          <w:lang w:val="es-AR"/>
        </w:rPr>
        <w:t xml:space="preserve">Status </w:t>
      </w:r>
      <w:r w:rsidR="008A661D" w:rsidRPr="004700B0">
        <w:rPr>
          <w:rFonts w:ascii="Arial" w:hAnsi="Arial" w:cs="Arial"/>
          <w:color w:val="auto"/>
          <w:lang w:val="es-AR"/>
        </w:rPr>
        <w:t>PeeringDB</w:t>
      </w:r>
      <w:r w:rsidR="006D4593" w:rsidRPr="004700B0">
        <w:rPr>
          <w:rFonts w:ascii="Arial" w:hAnsi="Arial" w:cs="Arial"/>
          <w:color w:val="auto"/>
          <w:lang w:val="es-AR"/>
        </w:rPr>
        <w:t>.</w:t>
      </w:r>
    </w:p>
    <w:p w14:paraId="0C7CE081" w14:textId="4371D41B" w:rsidR="00F87DF3" w:rsidRPr="00C21BA1" w:rsidRDefault="00F87DF3" w:rsidP="00F87D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Leandro esta coordinando con </w:t>
      </w:r>
      <w:r w:rsidR="000F4167">
        <w:rPr>
          <w:rFonts w:ascii="Arial" w:hAnsi="Arial" w:cs="Arial"/>
          <w:color w:val="auto"/>
          <w:lang w:val="es-AR"/>
        </w:rPr>
        <w:t>ellos,</w:t>
      </w:r>
      <w:r>
        <w:rPr>
          <w:rFonts w:ascii="Arial" w:hAnsi="Arial" w:cs="Arial"/>
          <w:color w:val="auto"/>
          <w:lang w:val="es-AR"/>
        </w:rPr>
        <w:t xml:space="preserve"> pero la respuesta está demorada.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6F8F064E" w:rsidR="002F3D1C" w:rsidRPr="001C3B4F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 – Status.</w:t>
      </w:r>
    </w:p>
    <w:p w14:paraId="2114AED1" w14:textId="05770023" w:rsidR="009B0424" w:rsidRDefault="001C3B4F" w:rsidP="00B208BA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C3B4F">
        <w:rPr>
          <w:rFonts w:ascii="Arial" w:hAnsi="Arial" w:cs="Arial"/>
          <w:color w:val="auto"/>
          <w:lang w:val="es-AR"/>
        </w:rPr>
        <w:t>Andrés y Pablo presentan fase 1 con una topología Spin</w:t>
      </w:r>
      <w:r w:rsidR="003D4208">
        <w:rPr>
          <w:rFonts w:ascii="Arial" w:hAnsi="Arial" w:cs="Arial"/>
          <w:color w:val="auto"/>
          <w:lang w:val="es-AR"/>
        </w:rPr>
        <w:t xml:space="preserve"> &amp;</w:t>
      </w:r>
      <w:r>
        <w:rPr>
          <w:rFonts w:ascii="Arial" w:hAnsi="Arial" w:cs="Arial"/>
          <w:color w:val="auto"/>
          <w:lang w:val="es-AR"/>
        </w:rPr>
        <w:t xml:space="preserve"> </w:t>
      </w:r>
      <w:r w:rsidRPr="001C3B4F">
        <w:rPr>
          <w:rFonts w:ascii="Arial" w:hAnsi="Arial" w:cs="Arial"/>
          <w:color w:val="auto"/>
          <w:lang w:val="es-AR"/>
        </w:rPr>
        <w:t>Leaf</w:t>
      </w:r>
      <w:r w:rsidR="003D4208">
        <w:rPr>
          <w:rFonts w:ascii="Arial" w:hAnsi="Arial" w:cs="Arial"/>
          <w:color w:val="auto"/>
          <w:lang w:val="es-AR"/>
        </w:rPr>
        <w:t xml:space="preserve"> con soporte de Spin &amp; leaf</w:t>
      </w:r>
      <w:r>
        <w:rPr>
          <w:rFonts w:ascii="Arial" w:hAnsi="Arial" w:cs="Arial"/>
          <w:color w:val="auto"/>
          <w:lang w:val="es-AR"/>
        </w:rPr>
        <w:t>.</w:t>
      </w:r>
      <w:r w:rsidR="003D4208">
        <w:rPr>
          <w:rFonts w:ascii="Arial" w:hAnsi="Arial" w:cs="Arial"/>
          <w:color w:val="auto"/>
          <w:lang w:val="es-AR"/>
        </w:rPr>
        <w:t xml:space="preserve"> </w:t>
      </w:r>
      <w:r w:rsidR="00E3027A">
        <w:rPr>
          <w:rFonts w:ascii="Arial" w:hAnsi="Arial" w:cs="Arial"/>
          <w:color w:val="auto"/>
          <w:lang w:val="es-AR"/>
        </w:rPr>
        <w:t xml:space="preserve">Soporte de 400G en el acceso. </w:t>
      </w:r>
      <w:r w:rsidR="003D4208">
        <w:rPr>
          <w:rFonts w:ascii="Arial" w:hAnsi="Arial" w:cs="Arial"/>
          <w:color w:val="auto"/>
          <w:lang w:val="es-AR"/>
        </w:rPr>
        <w:t>Hay acuerdo sobre la topología.</w:t>
      </w:r>
    </w:p>
    <w:p w14:paraId="313E329B" w14:textId="14E9017F" w:rsidR="00B208BA" w:rsidRDefault="00B208BA" w:rsidP="00B208BA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Ingeniería evaluará alternativas de proveedores, necesidades de soportes, etc para que la mesa decida en la próxima reunión.</w:t>
      </w:r>
    </w:p>
    <w:p w14:paraId="59A381A6" w14:textId="0D64FAF2" w:rsidR="00B208BA" w:rsidRPr="00B208BA" w:rsidRDefault="00B208BA" w:rsidP="00B208BA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Hay una segunda fase que requerirá cambio de Core </w:t>
      </w:r>
      <w:r w:rsidR="00E3027A">
        <w:rPr>
          <w:rFonts w:ascii="Arial" w:hAnsi="Arial" w:cs="Arial"/>
          <w:color w:val="auto"/>
          <w:lang w:val="es-AR"/>
        </w:rPr>
        <w:t>con soporte de 400G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696C76EB" w:rsidR="00973283" w:rsidRPr="00E94E30" w:rsidRDefault="00973283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E94E30">
        <w:rPr>
          <w:rFonts w:ascii="Arial" w:hAnsi="Arial" w:cs="Arial"/>
          <w:color w:val="auto"/>
          <w:lang w:val="en-US"/>
        </w:rPr>
        <w:t>Google: Ampliación cac</w:t>
      </w:r>
      <w:r w:rsidR="002249E5" w:rsidRPr="00E94E30">
        <w:rPr>
          <w:rFonts w:ascii="Arial" w:hAnsi="Arial" w:cs="Arial"/>
          <w:color w:val="auto"/>
          <w:lang w:val="en-US"/>
        </w:rPr>
        <w:t>h</w:t>
      </w:r>
      <w:r w:rsidRPr="00E94E30">
        <w:rPr>
          <w:rFonts w:ascii="Arial" w:hAnsi="Arial" w:cs="Arial"/>
          <w:color w:val="auto"/>
          <w:lang w:val="en-US"/>
        </w:rPr>
        <w:t>ing. Status</w:t>
      </w:r>
      <w:r w:rsidR="00AE5DF2" w:rsidRPr="00E94E30">
        <w:rPr>
          <w:rFonts w:ascii="Arial" w:hAnsi="Arial" w:cs="Arial"/>
          <w:color w:val="auto"/>
          <w:lang w:val="en-US"/>
        </w:rPr>
        <w:t>.</w:t>
      </w:r>
      <w:r w:rsidR="00E94E30" w:rsidRPr="00E94E30">
        <w:rPr>
          <w:rFonts w:ascii="Arial" w:hAnsi="Arial" w:cs="Arial"/>
          <w:color w:val="auto"/>
          <w:lang w:val="en-US"/>
        </w:rPr>
        <w:t xml:space="preserve"> </w:t>
      </w:r>
      <w:r w:rsidR="00E94E30" w:rsidRPr="00E94E30">
        <w:rPr>
          <w:rFonts w:ascii="Arial" w:hAnsi="Arial" w:cs="Arial"/>
          <w:color w:val="auto"/>
          <w:lang w:val="es-AR"/>
        </w:rPr>
        <w:t>Se dio OK en v</w:t>
      </w:r>
      <w:r w:rsidR="00E94E30">
        <w:rPr>
          <w:rFonts w:ascii="Arial" w:hAnsi="Arial" w:cs="Arial"/>
          <w:color w:val="auto"/>
          <w:lang w:val="es-AR"/>
        </w:rPr>
        <w:t xml:space="preserve">irtud del paso del </w:t>
      </w:r>
      <w:r w:rsidR="001048AF">
        <w:rPr>
          <w:rFonts w:ascii="Arial" w:hAnsi="Arial" w:cs="Arial"/>
          <w:color w:val="auto"/>
          <w:lang w:val="es-AR"/>
        </w:rPr>
        <w:t>verano como se describió mas arriba. Ya se instalaron pero hay un tema técnico en curso.</w:t>
      </w:r>
      <w:r w:rsidR="00A119F2">
        <w:rPr>
          <w:rFonts w:ascii="Arial" w:hAnsi="Arial" w:cs="Arial"/>
          <w:color w:val="auto"/>
          <w:lang w:val="es-AR"/>
        </w:rPr>
        <w:t xml:space="preserve"> Se levantó el tema por los carriles normales (hoy ticketera)</w:t>
      </w:r>
    </w:p>
    <w:p w14:paraId="209D099E" w14:textId="7BDF0690" w:rsidR="00F24313" w:rsidRPr="0018461D" w:rsidRDefault="004858FE" w:rsidP="0018461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pt-B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33D2E90C" w14:textId="26918EAE" w:rsidR="006D4FF0" w:rsidRDefault="002F3D1C" w:rsidP="002B3F8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8E045E">
        <w:rPr>
          <w:rFonts w:ascii="Arial" w:hAnsi="Arial" w:cs="Arial"/>
          <w:color w:val="auto"/>
          <w:lang w:val="es-AR"/>
        </w:rPr>
        <w:t>OPT-Out</w:t>
      </w:r>
      <w:r w:rsidR="0031520D" w:rsidRPr="008E045E">
        <w:rPr>
          <w:rFonts w:ascii="Arial" w:hAnsi="Arial" w:cs="Arial"/>
          <w:color w:val="auto"/>
          <w:lang w:val="es-AR"/>
        </w:rPr>
        <w:t xml:space="preserve"> - Analisis</w:t>
      </w:r>
      <w:r w:rsidR="00D713E7" w:rsidRPr="008E045E">
        <w:rPr>
          <w:rFonts w:ascii="Arial" w:hAnsi="Arial" w:cs="Arial"/>
          <w:color w:val="auto"/>
          <w:lang w:val="es-AR"/>
        </w:rPr>
        <w:t xml:space="preserve"> propuesta de Diego R</w:t>
      </w:r>
      <w:r w:rsidR="0031520D" w:rsidRPr="008E045E">
        <w:rPr>
          <w:rFonts w:ascii="Arial" w:hAnsi="Arial" w:cs="Arial"/>
          <w:color w:val="auto"/>
          <w:lang w:val="es-AR"/>
        </w:rPr>
        <w:t xml:space="preserve"> </w:t>
      </w:r>
      <w:r w:rsidR="008E045E" w:rsidRPr="008E045E">
        <w:rPr>
          <w:rFonts w:ascii="Arial" w:hAnsi="Arial" w:cs="Arial"/>
          <w:color w:val="auto"/>
          <w:lang w:val="es-AR"/>
        </w:rPr>
        <w:t>–</w:t>
      </w:r>
      <w:r w:rsidR="0031520D" w:rsidRPr="008E045E">
        <w:rPr>
          <w:rFonts w:ascii="Arial" w:hAnsi="Arial" w:cs="Arial"/>
          <w:color w:val="auto"/>
          <w:lang w:val="es-AR"/>
        </w:rPr>
        <w:t xml:space="preserve"> Status</w:t>
      </w:r>
      <w:r w:rsidR="008E045E" w:rsidRPr="008E045E">
        <w:rPr>
          <w:rFonts w:ascii="Arial" w:hAnsi="Arial" w:cs="Arial"/>
          <w:color w:val="auto"/>
          <w:lang w:val="es-AR"/>
        </w:rPr>
        <w:t xml:space="preserve">. </w:t>
      </w:r>
      <w:r w:rsidR="006D4FF0">
        <w:rPr>
          <w:rFonts w:ascii="Arial" w:hAnsi="Arial" w:cs="Arial"/>
          <w:color w:val="auto"/>
          <w:lang w:val="es-AR"/>
        </w:rPr>
        <w:t>Se va a tomar la propuesta.</w:t>
      </w:r>
    </w:p>
    <w:p w14:paraId="6D2E800E" w14:textId="05583383" w:rsidR="00D713E7" w:rsidRDefault="006D4FF0" w:rsidP="002B3F8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va a pasar no solo en respaldo, sino tmb en principal</w:t>
      </w:r>
      <w:r w:rsidR="008E045E">
        <w:rPr>
          <w:rFonts w:ascii="Arial" w:hAnsi="Arial" w:cs="Arial"/>
          <w:color w:val="auto"/>
          <w:lang w:val="es-AR"/>
        </w:rPr>
        <w:t>.</w:t>
      </w:r>
    </w:p>
    <w:p w14:paraId="52312117" w14:textId="7D19F46B" w:rsidR="006D4FF0" w:rsidRDefault="006D4FF0" w:rsidP="002B3F8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decide hacerlo en la semana del 5 de Mayo</w:t>
      </w:r>
    </w:p>
    <w:p w14:paraId="210B1610" w14:textId="4DF59E80" w:rsidR="006D4FF0" w:rsidRPr="008E045E" w:rsidRDefault="006D4FF0" w:rsidP="002B3F8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Hay 13 miembros que no tienen el peer en el respaldo, lo cual se va a atacar en paralelo.</w:t>
      </w:r>
    </w:p>
    <w:p w14:paraId="23A8309B" w14:textId="77777777" w:rsidR="00D713E7" w:rsidRPr="008E045E" w:rsidRDefault="00D713E7" w:rsidP="00D713E7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30E7F20D" w14:textId="02375969" w:rsidR="00222402" w:rsidRPr="00222402" w:rsidRDefault="0031520D" w:rsidP="009F500D">
      <w:p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OTROS: </w:t>
      </w:r>
      <w:r w:rsidR="00222402">
        <w:rPr>
          <w:rFonts w:ascii="Arial" w:hAnsi="Arial" w:cs="Arial"/>
          <w:color w:val="auto"/>
          <w:lang w:val="es-AR"/>
        </w:rPr>
        <w:t xml:space="preserve">Se propone reunión para ecualizar conocimiento de como participar del FPP de LACNIC. </w:t>
      </w:r>
      <w:r w:rsidR="006958A7">
        <w:rPr>
          <w:rFonts w:ascii="Arial" w:hAnsi="Arial" w:cs="Arial"/>
          <w:color w:val="auto"/>
          <w:lang w:val="es-AR"/>
        </w:rPr>
        <w:t>Agendada para 29 de Abril de 11 a 12hs.</w:t>
      </w:r>
      <w:r w:rsidR="008E045E">
        <w:rPr>
          <w:rFonts w:ascii="Arial" w:hAnsi="Arial" w:cs="Arial"/>
          <w:color w:val="auto"/>
          <w:lang w:val="es-AR"/>
        </w:rPr>
        <w:t xml:space="preserve"> Informado.</w:t>
      </w:r>
    </w:p>
    <w:p w14:paraId="26BD9BC0" w14:textId="59E7619A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6958A7">
        <w:rPr>
          <w:rFonts w:ascii="Arial" w:hAnsi="Arial" w:cs="Arial"/>
          <w:color w:val="auto"/>
          <w:lang w:val="es-AR"/>
        </w:rPr>
        <w:t>TBD</w:t>
      </w:r>
      <w:r w:rsidR="007A1FB6">
        <w:rPr>
          <w:rFonts w:ascii="Arial" w:hAnsi="Arial" w:cs="Arial"/>
          <w:color w:val="auto"/>
          <w:lang w:val="es-AR"/>
        </w:rPr>
        <w:t>.</w:t>
      </w:r>
      <w:r w:rsidR="006958A7">
        <w:rPr>
          <w:rFonts w:ascii="Arial" w:hAnsi="Arial" w:cs="Arial"/>
          <w:color w:val="auto"/>
          <w:lang w:val="es-AR"/>
        </w:rPr>
        <w:t xml:space="preserve"> Opción de realizarla en predio de Internet day el 16 post mediodía o buscar otra fecha.</w:t>
      </w:r>
      <w:r w:rsidR="008E045E">
        <w:rPr>
          <w:rFonts w:ascii="Arial" w:hAnsi="Arial" w:cs="Arial"/>
          <w:color w:val="auto"/>
          <w:lang w:val="es-AR"/>
        </w:rPr>
        <w:t xml:space="preserve"> Se decide pasarla al 22. De estar el mobiliario se hará presencial.</w:t>
      </w:r>
    </w:p>
    <w:p w14:paraId="5AEA66E9" w14:textId="61C585D3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lastRenderedPageBreak/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1031B2"/>
    <w:rsid w:val="001048AF"/>
    <w:rsid w:val="00104FED"/>
    <w:rsid w:val="001055C8"/>
    <w:rsid w:val="00106493"/>
    <w:rsid w:val="0011033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520D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4208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6786"/>
    <w:rsid w:val="00801B63"/>
    <w:rsid w:val="00801FAF"/>
    <w:rsid w:val="00804DF4"/>
    <w:rsid w:val="00805B5B"/>
    <w:rsid w:val="00813D9A"/>
    <w:rsid w:val="00817001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208BA"/>
    <w:rsid w:val="00B231FE"/>
    <w:rsid w:val="00B3036C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516"/>
    <w:rsid w:val="00D26D20"/>
    <w:rsid w:val="00D30569"/>
    <w:rsid w:val="00D35F27"/>
    <w:rsid w:val="00D42879"/>
    <w:rsid w:val="00D46B95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24</cp:revision>
  <dcterms:created xsi:type="dcterms:W3CDTF">2025-04-24T13:51:00Z</dcterms:created>
  <dcterms:modified xsi:type="dcterms:W3CDTF">2025-04-24T16:11:00Z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