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74644D">
        <w:rPr>
          <w:sz w:val="20"/>
          <w:szCs w:val="20"/>
        </w:rPr>
        <w:t>20</w:t>
      </w:r>
      <w:r>
        <w:rPr>
          <w:sz w:val="20"/>
          <w:szCs w:val="20"/>
          <w:lang w:val="es-AR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74644D">
        <w:rPr>
          <w:sz w:val="20"/>
          <w:szCs w:val="20"/>
          <w:lang w:val="es-AR"/>
        </w:rPr>
        <w:t>AGOSTO</w:t>
      </w:r>
      <w:r>
        <w:rPr>
          <w:sz w:val="20"/>
          <w:szCs w:val="20"/>
        </w:rPr>
        <w:t xml:space="preserve"> AÑO 201</w:t>
      </w:r>
      <w:r w:rsidR="00EB2A91">
        <w:rPr>
          <w:sz w:val="20"/>
          <w:szCs w:val="20"/>
        </w:rPr>
        <w:t>9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D079BF">
        <w:rPr>
          <w:sz w:val="20"/>
          <w:szCs w:val="20"/>
          <w:lang w:val="es-AR"/>
        </w:rPr>
        <w:t xml:space="preserve"> </w:t>
      </w:r>
    </w:p>
    <w:p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Pr="00D079BF" w:rsidRDefault="003D4F6A">
            <w:pPr>
              <w:spacing w:after="0" w:line="240" w:lineRule="auto"/>
              <w:rPr>
                <w:rFonts w:eastAsia="Times New Roman"/>
                <w:color w:val="000000"/>
                <w:highlight w:val="yellow"/>
                <w:lang w:eastAsia="es-ES"/>
              </w:rPr>
            </w:pPr>
            <w:r w:rsidRPr="00D079BF">
              <w:rPr>
                <w:rFonts w:eastAsia="Times New Roman"/>
                <w:color w:val="000000"/>
                <w:highlight w:val="yellow"/>
                <w:lang w:eastAsia="es-ES"/>
              </w:rPr>
              <w:t xml:space="preserve">CARGO </w:t>
            </w:r>
          </w:p>
        </w:tc>
      </w:tr>
      <w:tr w:rsidR="00BC5C9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Casaliggi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4BD" w:rsidRDefault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BATAN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COPETEL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74644D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D079B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644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TLP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74644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Ernesto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Golomb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  <w:tr w:rsidR="0074644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644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4644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44D" w:rsidRDefault="0074644D" w:rsidP="0074644D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:rsidR="00BC5C99" w:rsidRDefault="00BC5C99">
      <w:pPr>
        <w:spacing w:after="0" w:line="240" w:lineRule="auto"/>
        <w:rPr>
          <w:sz w:val="20"/>
          <w:szCs w:val="20"/>
        </w:rPr>
      </w:pPr>
    </w:p>
    <w:p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:rsidR="00BC5C99" w:rsidRDefault="00BC5C99">
      <w:pPr>
        <w:spacing w:after="0" w:line="240" w:lineRule="auto"/>
        <w:rPr>
          <w:sz w:val="20"/>
          <w:szCs w:val="20"/>
        </w:rPr>
      </w:pPr>
    </w:p>
    <w:p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:rsidR="00BC5C99" w:rsidRDefault="00BC5C99">
      <w:pPr>
        <w:pStyle w:val="Prrafodelista1"/>
        <w:rPr>
          <w:sz w:val="16"/>
          <w:szCs w:val="16"/>
        </w:rPr>
      </w:pP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C5C99" w:rsidRDefault="00491415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3D4F6A">
          <w:rPr>
            <w:rStyle w:val="Hipervnculo"/>
            <w:lang w:val="es-AR"/>
          </w:rPr>
          <w:t>napmardelplata</w:t>
        </w:r>
        <w:r w:rsidR="003D4F6A">
          <w:rPr>
            <w:rStyle w:val="Hipervnculo"/>
          </w:rPr>
          <w:t>@listas.cabase.org.ar</w:t>
        </w:r>
      </w:hyperlink>
      <w:r w:rsidR="003D4F6A">
        <w:t xml:space="preserve"> :   </w:t>
      </w:r>
      <w:r w:rsidR="0074644D">
        <w:t>17</w:t>
      </w:r>
      <w:r w:rsidR="00BB11DF">
        <w:t>/0</w:t>
      </w:r>
      <w:r w:rsidR="0074644D">
        <w:t>7</w:t>
      </w:r>
      <w:r w:rsidR="00BB11DF">
        <w:t>/2019</w:t>
      </w: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74644D">
        <w:t>20</w:t>
      </w:r>
      <w:r w:rsidR="00BB11DF">
        <w:t>/0</w:t>
      </w:r>
      <w:r w:rsidR="0074644D">
        <w:t>7</w:t>
      </w:r>
      <w:r w:rsidR="00BB11DF">
        <w:t>/2019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BC5C99">
      <w:pPr>
        <w:pStyle w:val="Prrafodelista1"/>
        <w:rPr>
          <w:sz w:val="16"/>
          <w:szCs w:val="16"/>
        </w:rPr>
      </w:pPr>
    </w:p>
    <w:p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lastRenderedPageBreak/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:rsidR="00BC5C99" w:rsidRDefault="00BC5C99">
      <w:pPr>
        <w:pStyle w:val="Prrafodelista1"/>
      </w:pP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BB11DF" w:rsidRPr="00BB11DF">
        <w:rPr>
          <w:b/>
          <w:color w:val="FF0000"/>
        </w:rPr>
        <w:t xml:space="preserve">- </w:t>
      </w:r>
      <w:r w:rsidR="00EB2A91" w:rsidRPr="00BB11DF">
        <w:rPr>
          <w:b/>
          <w:color w:val="FF0000"/>
          <w:sz w:val="20"/>
          <w:szCs w:val="20"/>
          <w:lang w:val="es-AR"/>
        </w:rPr>
        <w:t>$</w:t>
      </w:r>
      <w:r w:rsidR="0074644D">
        <w:rPr>
          <w:b/>
          <w:color w:val="FF0000"/>
          <w:sz w:val="20"/>
          <w:szCs w:val="20"/>
          <w:lang w:val="es-AR"/>
        </w:rPr>
        <w:t>108</w:t>
      </w:r>
      <w:r w:rsidR="00BB11DF" w:rsidRPr="00BB11DF">
        <w:rPr>
          <w:b/>
          <w:color w:val="FF0000"/>
          <w:sz w:val="20"/>
          <w:szCs w:val="20"/>
          <w:lang w:val="es-AR"/>
        </w:rPr>
        <w:t>.</w:t>
      </w:r>
      <w:r w:rsidR="0074644D">
        <w:rPr>
          <w:b/>
          <w:color w:val="FF0000"/>
          <w:sz w:val="20"/>
          <w:szCs w:val="20"/>
          <w:lang w:val="es-AR"/>
        </w:rPr>
        <w:t>387</w:t>
      </w:r>
      <w:r w:rsidR="00BB11DF" w:rsidRPr="00BB11DF">
        <w:rPr>
          <w:b/>
          <w:color w:val="FF0000"/>
          <w:sz w:val="20"/>
          <w:szCs w:val="20"/>
          <w:lang w:val="es-AR"/>
        </w:rPr>
        <w:t>.-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74644D">
        <w:rPr>
          <w:b/>
          <w:lang w:val="es-AR"/>
        </w:rPr>
        <w:t>16</w:t>
      </w:r>
      <w:r>
        <w:rPr>
          <w:b/>
        </w:rPr>
        <w:t>/</w:t>
      </w:r>
      <w:r w:rsidR="00BB11DF">
        <w:rPr>
          <w:b/>
        </w:rPr>
        <w:t>0</w:t>
      </w:r>
      <w:r w:rsidR="0074644D">
        <w:rPr>
          <w:b/>
        </w:rPr>
        <w:t>8</w:t>
      </w:r>
      <w:r>
        <w:rPr>
          <w:b/>
        </w:rPr>
        <w:t>/201</w:t>
      </w:r>
      <w:r w:rsidR="00BB11DF">
        <w:rPr>
          <w:b/>
        </w:rPr>
        <w:t>9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146.858</w:t>
      </w:r>
      <w:r w:rsidR="00EB2A91" w:rsidRPr="00EB2A91">
        <w:rPr>
          <w:b/>
          <w:sz w:val="20"/>
          <w:szCs w:val="20"/>
        </w:rPr>
        <w:t>.-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BC5C99" w:rsidRDefault="00BC5C99">
      <w:pPr>
        <w:spacing w:after="0" w:line="240" w:lineRule="auto"/>
        <w:rPr>
          <w:sz w:val="16"/>
          <w:szCs w:val="16"/>
        </w:rPr>
      </w:pPr>
    </w:p>
    <w:p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:rsidR="00613A44" w:rsidRDefault="0074644D" w:rsidP="00613A44">
      <w:r>
        <w:t>Quedó pendiente la compra de</w:t>
      </w:r>
      <w:r w:rsidR="00BB11DF">
        <w:t>: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:rsidR="00BC5C99" w:rsidRDefault="00BC5C99">
      <w:pPr>
        <w:spacing w:after="0" w:line="240" w:lineRule="auto"/>
        <w:rPr>
          <w:b/>
        </w:rPr>
      </w:pPr>
    </w:p>
    <w:p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:rsidR="00EB2A91" w:rsidRDefault="00C71F98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E457BE">
        <w:t>Cooperativa</w:t>
      </w:r>
      <w:r w:rsidRPr="004D1F63">
        <w:rPr>
          <w:lang w:val="es-AR"/>
        </w:rPr>
        <w:t xml:space="preserve"> de </w:t>
      </w:r>
      <w:r w:rsidR="0074644D">
        <w:rPr>
          <w:lang w:val="es-AR"/>
        </w:rPr>
        <w:t xml:space="preserve">Batán expresa su interés en evaluar la desconexión al IXP, producto de los valores de transporte. SILICA le solicita </w:t>
      </w:r>
      <w:r w:rsidR="002F5B64">
        <w:rPr>
          <w:lang w:val="es-AR"/>
        </w:rPr>
        <w:t>reevalúe</w:t>
      </w:r>
      <w:r w:rsidR="0074644D">
        <w:rPr>
          <w:lang w:val="es-AR"/>
        </w:rPr>
        <w:t xml:space="preserve"> la </w:t>
      </w:r>
      <w:proofErr w:type="gramStart"/>
      <w:r w:rsidR="0074644D">
        <w:rPr>
          <w:lang w:val="es-AR"/>
        </w:rPr>
        <w:t>situación atento</w:t>
      </w:r>
      <w:proofErr w:type="gramEnd"/>
      <w:r w:rsidR="0074644D">
        <w:rPr>
          <w:lang w:val="es-AR"/>
        </w:rPr>
        <w:t xml:space="preserve"> los nuevos valores de Ancho de Banda puestos sobre la mesa. Asimismo, está estudiando la factibilidad de conectar una fibra entre dicha empresa y su propia red.</w:t>
      </w:r>
      <w:r w:rsidR="002F5B64">
        <w:rPr>
          <w:lang w:val="es-AR"/>
        </w:rPr>
        <w:t xml:space="preserve"> Sobre la pregunta de conectarse desde BATAN directamente a RCN, Ernesto informa que BS AS no aprobaría el ingreso de miembros de otras regiones con IXP directamente a Capital.</w:t>
      </w:r>
    </w:p>
    <w:p w:rsidR="00E322FE" w:rsidRDefault="00E322FE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>Ante el evento del 18/8</w:t>
      </w:r>
      <w:r w:rsidR="002F5B64">
        <w:rPr>
          <w:lang w:val="es-AR"/>
        </w:rPr>
        <w:t>/2019 a las</w:t>
      </w:r>
      <w:r>
        <w:rPr>
          <w:lang w:val="es-AR"/>
        </w:rPr>
        <w:t xml:space="preserve"> 15hs, cuya resolución se concretó el 19/8 a las 21 </w:t>
      </w:r>
      <w:proofErr w:type="spellStart"/>
      <w:r>
        <w:rPr>
          <w:lang w:val="es-AR"/>
        </w:rPr>
        <w:t>hs</w:t>
      </w:r>
      <w:proofErr w:type="spellEnd"/>
      <w:r>
        <w:rPr>
          <w:lang w:val="es-AR"/>
        </w:rPr>
        <w:t>, se le solicita un informe a SILICA del mismo, y las acciones que emprenderá para evitar en el futuro tales sucesos.</w:t>
      </w:r>
    </w:p>
    <w:p w:rsidR="00E322FE" w:rsidRDefault="00E322FE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 xml:space="preserve">Se le indica también a SILICA la necesidad de elevar a 20 </w:t>
      </w:r>
      <w:proofErr w:type="spellStart"/>
      <w:r>
        <w:rPr>
          <w:lang w:val="es-AR"/>
        </w:rPr>
        <w:t>gb</w:t>
      </w:r>
      <w:proofErr w:type="spellEnd"/>
      <w:r>
        <w:rPr>
          <w:lang w:val="es-AR"/>
        </w:rPr>
        <w:t xml:space="preserve"> el transporte MDQ-RCN</w:t>
      </w:r>
    </w:p>
    <w:p w:rsidR="00E322FE" w:rsidRPr="004D1F63" w:rsidRDefault="00E322FE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rPr>
          <w:lang w:val="es-AR"/>
        </w:rPr>
        <w:t xml:space="preserve">Se les recuerda a los </w:t>
      </w:r>
      <w:proofErr w:type="spellStart"/>
      <w:r>
        <w:rPr>
          <w:lang w:val="es-AR"/>
        </w:rPr>
        <w:t>Carriers</w:t>
      </w:r>
      <w:proofErr w:type="spellEnd"/>
      <w:r>
        <w:rPr>
          <w:lang w:val="es-AR"/>
        </w:rPr>
        <w:t xml:space="preserve"> que miembros de mas de 2 Gb, deberían enlazar directamente en el </w:t>
      </w:r>
      <w:proofErr w:type="spellStart"/>
      <w:r>
        <w:rPr>
          <w:lang w:val="es-AR"/>
        </w:rPr>
        <w:t>switch</w:t>
      </w:r>
      <w:proofErr w:type="spellEnd"/>
      <w:r>
        <w:rPr>
          <w:lang w:val="es-AR"/>
        </w:rPr>
        <w:t xml:space="preserve"> nuevo -MDQ-ROU-03- a 10Gb, por lo que es deseable cambien los equipos por </w:t>
      </w:r>
      <w:proofErr w:type="spellStart"/>
      <w:r>
        <w:rPr>
          <w:lang w:val="es-AR"/>
        </w:rPr>
        <w:t>switches</w:t>
      </w:r>
      <w:proofErr w:type="spellEnd"/>
      <w:r>
        <w:rPr>
          <w:lang w:val="es-AR"/>
        </w:rPr>
        <w:t xml:space="preserve"> de 10Gb</w:t>
      </w:r>
    </w:p>
    <w:p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:rsidR="00C71F98" w:rsidRPr="0074644D" w:rsidRDefault="0074644D" w:rsidP="00E457BE">
      <w:pPr>
        <w:pStyle w:val="Prrafodelista"/>
        <w:numPr>
          <w:ilvl w:val="0"/>
          <w:numId w:val="6"/>
        </w:numPr>
        <w:ind w:left="709" w:hanging="425"/>
        <w:rPr>
          <w:b/>
          <w:bCs/>
          <w:lang w:val="es-AR"/>
        </w:rPr>
      </w:pPr>
      <w:r>
        <w:rPr>
          <w:lang w:val="es-AR"/>
        </w:rPr>
        <w:lastRenderedPageBreak/>
        <w:t>SILICA ofrece un cuadro tarifario a:</w:t>
      </w:r>
    </w:p>
    <w:p w:rsidR="0074644D" w:rsidRPr="0074644D" w:rsidRDefault="0074644D" w:rsidP="0074644D">
      <w:pPr>
        <w:pStyle w:val="Prrafodelista"/>
        <w:numPr>
          <w:ilvl w:val="1"/>
          <w:numId w:val="6"/>
        </w:numPr>
        <w:rPr>
          <w:b/>
          <w:bCs/>
          <w:lang w:val="es-AR"/>
        </w:rPr>
      </w:pPr>
      <w:r>
        <w:rPr>
          <w:lang w:val="es-AR"/>
        </w:rPr>
        <w:t>U$S 3.90/</w:t>
      </w:r>
      <w:proofErr w:type="spellStart"/>
      <w:r>
        <w:rPr>
          <w:lang w:val="es-AR"/>
        </w:rPr>
        <w:t>mb</w:t>
      </w:r>
      <w:proofErr w:type="spellEnd"/>
      <w:r>
        <w:rPr>
          <w:lang w:val="es-AR"/>
        </w:rPr>
        <w:t xml:space="preserve"> Transporte</w:t>
      </w:r>
    </w:p>
    <w:p w:rsidR="0074644D" w:rsidRPr="0074644D" w:rsidRDefault="0074644D" w:rsidP="0074644D">
      <w:pPr>
        <w:pStyle w:val="Prrafodelista"/>
        <w:numPr>
          <w:ilvl w:val="1"/>
          <w:numId w:val="6"/>
        </w:numPr>
        <w:rPr>
          <w:b/>
          <w:bCs/>
          <w:lang w:val="es-AR"/>
        </w:rPr>
      </w:pPr>
      <w:r>
        <w:rPr>
          <w:lang w:val="es-AR"/>
        </w:rPr>
        <w:t>U$S 6.90/</w:t>
      </w:r>
      <w:proofErr w:type="spellStart"/>
      <w:r>
        <w:rPr>
          <w:lang w:val="es-AR"/>
        </w:rPr>
        <w:t>mb</w:t>
      </w:r>
      <w:proofErr w:type="spellEnd"/>
      <w:r>
        <w:rPr>
          <w:lang w:val="es-AR"/>
        </w:rPr>
        <w:t xml:space="preserve"> Internacional</w:t>
      </w:r>
    </w:p>
    <w:p w:rsidR="0074644D" w:rsidRPr="004D1F63" w:rsidRDefault="0074644D" w:rsidP="0074644D">
      <w:pPr>
        <w:pStyle w:val="Prrafodelista"/>
        <w:numPr>
          <w:ilvl w:val="1"/>
          <w:numId w:val="6"/>
        </w:numPr>
        <w:rPr>
          <w:b/>
          <w:bCs/>
          <w:lang w:val="es-AR"/>
        </w:rPr>
      </w:pPr>
      <w:r>
        <w:rPr>
          <w:lang w:val="es-AR"/>
        </w:rPr>
        <w:t xml:space="preserve">Se compromete a enviar una tabla de doble entrada </w:t>
      </w:r>
      <w:proofErr w:type="gramStart"/>
      <w:r>
        <w:rPr>
          <w:lang w:val="es-AR"/>
        </w:rPr>
        <w:t>( Ancho</w:t>
      </w:r>
      <w:proofErr w:type="gramEnd"/>
      <w:r>
        <w:rPr>
          <w:lang w:val="es-AR"/>
        </w:rPr>
        <w:t xml:space="preserve"> de Banda y Dólares ) para ir considerando rebajas al aumentar el consumo.</w:t>
      </w:r>
    </w:p>
    <w:p w:rsidR="00A8086B" w:rsidRPr="004D1F63" w:rsidRDefault="00A8086B" w:rsidP="00E457BE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 w:rsidRPr="004D1F63">
        <w:rPr>
          <w:lang w:val="es-AR"/>
        </w:rPr>
        <w:t>Ernesto explica</w:t>
      </w:r>
      <w:r w:rsidR="0074644D">
        <w:rPr>
          <w:lang w:val="es-AR"/>
        </w:rPr>
        <w:t xml:space="preserve"> los avances en el tema</w:t>
      </w:r>
      <w:r w:rsidRPr="004D1F63">
        <w:rPr>
          <w:lang w:val="es-AR"/>
        </w:rPr>
        <w:t xml:space="preserve"> TV, cuy</w:t>
      </w:r>
      <w:r w:rsidR="00E322FE">
        <w:rPr>
          <w:lang w:val="es-AR"/>
        </w:rPr>
        <w:t>o</w:t>
      </w:r>
      <w:r w:rsidRPr="004D1F63">
        <w:rPr>
          <w:lang w:val="es-AR"/>
        </w:rPr>
        <w:t xml:space="preserve"> </w:t>
      </w:r>
      <w:r w:rsidR="0074644D">
        <w:rPr>
          <w:lang w:val="es-AR"/>
        </w:rPr>
        <w:t xml:space="preserve">lanzamiento se </w:t>
      </w:r>
      <w:r w:rsidR="00E322FE">
        <w:rPr>
          <w:lang w:val="es-AR"/>
        </w:rPr>
        <w:t>prevé</w:t>
      </w:r>
      <w:r w:rsidR="0074644D">
        <w:rPr>
          <w:lang w:val="es-AR"/>
        </w:rPr>
        <w:t xml:space="preserve"> para el 1/10/2019</w:t>
      </w:r>
      <w:r w:rsidRPr="004D1F63">
        <w:rPr>
          <w:lang w:val="es-AR"/>
        </w:rPr>
        <w:t xml:space="preserve">. Hablan de </w:t>
      </w:r>
      <w:r w:rsidR="00E322FE">
        <w:rPr>
          <w:lang w:val="es-AR"/>
        </w:rPr>
        <w:t>contar con 60</w:t>
      </w:r>
      <w:r w:rsidRPr="004D1F63">
        <w:rPr>
          <w:lang w:val="es-AR"/>
        </w:rPr>
        <w:t xml:space="preserve"> canales, </w:t>
      </w:r>
      <w:r w:rsidR="00E322FE">
        <w:rPr>
          <w:lang w:val="es-AR"/>
        </w:rPr>
        <w:t xml:space="preserve">que la única </w:t>
      </w:r>
      <w:r w:rsidRPr="004D1F63">
        <w:rPr>
          <w:lang w:val="es-AR"/>
        </w:rPr>
        <w:t xml:space="preserve">Plataformas </w:t>
      </w:r>
      <w:r w:rsidR="00E322FE">
        <w:rPr>
          <w:lang w:val="es-AR"/>
        </w:rPr>
        <w:t xml:space="preserve">hoy es </w:t>
      </w:r>
      <w:proofErr w:type="spellStart"/>
      <w:r w:rsidRPr="004D1F63">
        <w:rPr>
          <w:lang w:val="es-AR"/>
        </w:rPr>
        <w:t>Rocstar</w:t>
      </w:r>
      <w:proofErr w:type="spellEnd"/>
      <w:r w:rsidRPr="004D1F63">
        <w:rPr>
          <w:lang w:val="es-AR"/>
        </w:rPr>
        <w:t xml:space="preserve"> </w:t>
      </w:r>
      <w:proofErr w:type="gramStart"/>
      <w:r w:rsidRPr="004D1F63">
        <w:rPr>
          <w:lang w:val="es-AR"/>
        </w:rPr>
        <w:t>( se</w:t>
      </w:r>
      <w:proofErr w:type="gramEnd"/>
      <w:r w:rsidRPr="004D1F63">
        <w:rPr>
          <w:lang w:val="es-AR"/>
        </w:rPr>
        <w:t xml:space="preserve"> esperan otras ), </w:t>
      </w:r>
      <w:r w:rsidR="00E322FE">
        <w:rPr>
          <w:lang w:val="es-AR"/>
        </w:rPr>
        <w:t>y que resta firma con Disney, FOX y HBO al momento.</w:t>
      </w:r>
    </w:p>
    <w:p w:rsidR="00613A44" w:rsidRDefault="00613A44" w:rsidP="00613A44">
      <w:pPr>
        <w:rPr>
          <w:b/>
        </w:rPr>
      </w:pPr>
    </w:p>
    <w:p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801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993"/>
        <w:gridCol w:w="1559"/>
        <w:gridCol w:w="1417"/>
        <w:gridCol w:w="3544"/>
      </w:tblGrid>
      <w:tr w:rsidR="004B7991" w:rsidTr="004B7991">
        <w:trPr>
          <w:trHeight w:val="31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#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SIGLAS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Categoría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Boca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4B7991" w:rsidRPr="00FA7DEA" w:rsidRDefault="004B7991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FA7DEA">
              <w:rPr>
                <w:rFonts w:eastAsia="Times New Roman"/>
                <w:color w:val="000000"/>
                <w:lang w:eastAsia="es-ES"/>
              </w:rPr>
              <w:t xml:space="preserve"> </w:t>
            </w:r>
            <w:r>
              <w:rPr>
                <w:rFonts w:eastAsia="Times New Roman"/>
                <w:color w:val="000000"/>
                <w:lang w:eastAsia="es-ES"/>
              </w:rPr>
              <w:t>I</w:t>
            </w:r>
            <w:r w:rsidRPr="00FA7DEA">
              <w:rPr>
                <w:rFonts w:eastAsia="Times New Roman"/>
                <w:color w:val="000000"/>
                <w:lang w:eastAsia="es-ES"/>
              </w:rPr>
              <w:t xml:space="preserve">ntercambio MULTILATERAL si/no 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AR" w:eastAsia="es-AR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AR"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TLP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CYB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SIT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SLK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Tr="004B7991">
        <w:trPr>
          <w:trHeight w:val="31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CTJ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TCA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BAJA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N/C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No Conectado</w:t>
            </w:r>
          </w:p>
        </w:tc>
      </w:tr>
      <w:tr w:rsidR="004B7991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CLR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CARRIER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DIO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UNV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ESPECIAL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CPC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  <w:tr w:rsidR="004B7991" w:rsidRPr="00FA7DEA" w:rsidTr="004B7991">
        <w:trPr>
          <w:trHeight w:val="327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991" w:rsidRPr="00FA7DEA" w:rsidRDefault="004B7991" w:rsidP="004B79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</w:pPr>
            <w:r w:rsidRPr="00FA7D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S"/>
              </w:rPr>
              <w:t>CBO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PLENO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7991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991" w:rsidRPr="004B7991" w:rsidRDefault="004B7991" w:rsidP="004B79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7991">
              <w:rPr>
                <w:rFonts w:asciiTheme="minorHAnsi" w:hAnsiTheme="minorHAnsi" w:cstheme="minorHAnsi"/>
                <w:sz w:val="20"/>
                <w:szCs w:val="20"/>
              </w:rPr>
              <w:t>Intercambiando</w:t>
            </w:r>
          </w:p>
        </w:tc>
      </w:tr>
    </w:tbl>
    <w:p w:rsidR="00BC5C99" w:rsidRDefault="00BC5C99">
      <w:pPr>
        <w:spacing w:after="0" w:line="240" w:lineRule="auto"/>
      </w:pPr>
    </w:p>
    <w:p w:rsidR="00BC5C99" w:rsidRDefault="003D4F6A">
      <w:pPr>
        <w:spacing w:after="0" w:line="240" w:lineRule="auto"/>
      </w:pPr>
      <w:r>
        <w:t xml:space="preserve">Detalle de CONEXIONES BILATERALES:  </w:t>
      </w:r>
    </w:p>
    <w:p w:rsidR="00E457BE" w:rsidRDefault="00E457BE">
      <w:pPr>
        <w:spacing w:after="0" w:line="240" w:lineRule="auto"/>
      </w:pPr>
    </w:p>
    <w:p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:rsidR="00E457BE" w:rsidRDefault="00E457BE">
      <w:pPr>
        <w:spacing w:after="0" w:line="240" w:lineRule="auto"/>
        <w:rPr>
          <w:b/>
        </w:rPr>
      </w:pPr>
    </w:p>
    <w:p w:rsidR="00595538" w:rsidRDefault="00595538">
      <w:pPr>
        <w:spacing w:after="0" w:line="240" w:lineRule="auto"/>
        <w:rPr>
          <w:b/>
        </w:rPr>
      </w:pPr>
    </w:p>
    <w:p w:rsidR="00E457BE" w:rsidRDefault="00E457BE">
      <w:pPr>
        <w:spacing w:after="0" w:line="240" w:lineRule="auto"/>
      </w:pPr>
    </w:p>
    <w:p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AR"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E322FE">
        <w:rPr>
          <w:b/>
          <w:lang w:val="es-AR"/>
        </w:rPr>
        <w:t>17</w:t>
      </w:r>
      <w:r w:rsidR="004B7991">
        <w:rPr>
          <w:b/>
          <w:lang w:val="es-AR"/>
        </w:rPr>
        <w:t>/</w:t>
      </w:r>
      <w:r w:rsidR="00E322FE">
        <w:rPr>
          <w:b/>
          <w:lang w:val="es-AR"/>
        </w:rPr>
        <w:t>9</w:t>
      </w:r>
      <w:r w:rsidR="004B7991">
        <w:rPr>
          <w:b/>
          <w:lang w:val="es-AR"/>
        </w:rPr>
        <w:t>/2019</w:t>
      </w:r>
      <w:r w:rsidR="003636FE">
        <w:rPr>
          <w:b/>
          <w:lang w:val="es-AR"/>
        </w:rPr>
        <w:t xml:space="preserve"> </w:t>
      </w:r>
      <w:proofErr w:type="spellStart"/>
      <w:r w:rsidR="00E322FE">
        <w:rPr>
          <w:b/>
          <w:lang w:val="es-AR"/>
        </w:rPr>
        <w:t>ó</w:t>
      </w:r>
      <w:proofErr w:type="spellEnd"/>
      <w:r w:rsidR="00E322FE">
        <w:rPr>
          <w:b/>
          <w:lang w:val="es-AR"/>
        </w:rPr>
        <w:t xml:space="preserve"> 1/10/2019 </w:t>
      </w:r>
      <w:r w:rsidR="003636FE">
        <w:rPr>
          <w:b/>
          <w:lang w:val="es-AR"/>
        </w:rPr>
        <w:t xml:space="preserve">14.30 </w:t>
      </w:r>
      <w:proofErr w:type="spellStart"/>
      <w:r w:rsidR="003636FE">
        <w:rPr>
          <w:b/>
          <w:lang w:val="es-AR"/>
        </w:rPr>
        <w:t>hs</w:t>
      </w:r>
      <w:proofErr w:type="spellEnd"/>
      <w:r w:rsidR="00595538">
        <w:rPr>
          <w:b/>
          <w:lang w:val="es-AR"/>
        </w:rPr>
        <w:t xml:space="preserve"> </w:t>
      </w:r>
      <w:proofErr w:type="gramStart"/>
      <w:r w:rsidR="00595538">
        <w:rPr>
          <w:b/>
          <w:lang w:val="es-AR"/>
        </w:rPr>
        <w:t>( a</w:t>
      </w:r>
      <w:proofErr w:type="gramEnd"/>
      <w:r w:rsidR="00595538">
        <w:rPr>
          <w:b/>
          <w:lang w:val="es-AR"/>
        </w:rPr>
        <w:t xml:space="preserve"> confirmar )</w:t>
      </w:r>
    </w:p>
    <w:p w:rsidR="004D1F63" w:rsidRDefault="004D1F63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C5C99" w:rsidRDefault="003D4F6A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</w:p>
    <w:p w:rsidR="00BC5C99" w:rsidRDefault="005F1A2B" w:rsidP="005F1A2B">
      <w:pPr>
        <w:spacing w:after="0" w:line="240" w:lineRule="auto"/>
        <w:ind w:firstLine="708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>2</w:t>
      </w:r>
      <w:r w:rsidR="007A77B6">
        <w:rPr>
          <w:sz w:val="20"/>
          <w:szCs w:val="20"/>
          <w:lang w:val="es-AR"/>
        </w:rPr>
        <w:t>1</w:t>
      </w:r>
      <w:r>
        <w:rPr>
          <w:sz w:val="20"/>
          <w:szCs w:val="20"/>
          <w:lang w:val="es-AR"/>
        </w:rPr>
        <w:t>/</w:t>
      </w:r>
      <w:r w:rsidR="007A77B6">
        <w:rPr>
          <w:sz w:val="20"/>
          <w:szCs w:val="20"/>
          <w:lang w:val="es-AR"/>
        </w:rPr>
        <w:t>8</w:t>
      </w:r>
      <w:r>
        <w:rPr>
          <w:sz w:val="20"/>
          <w:szCs w:val="20"/>
          <w:lang w:val="es-AR"/>
        </w:rPr>
        <w:t xml:space="preserve">/2019 13 </w:t>
      </w:r>
      <w:proofErr w:type="spellStart"/>
      <w:r>
        <w:rPr>
          <w:sz w:val="20"/>
          <w:szCs w:val="20"/>
          <w:lang w:val="es-AR"/>
        </w:rPr>
        <w:t>hs</w:t>
      </w:r>
      <w:proofErr w:type="spellEnd"/>
    </w:p>
    <w:p w:rsidR="001D294C" w:rsidRDefault="001D294C" w:rsidP="005F1A2B">
      <w:pPr>
        <w:spacing w:after="0" w:line="240" w:lineRule="auto"/>
        <w:ind w:firstLine="708"/>
        <w:rPr>
          <w:sz w:val="20"/>
          <w:szCs w:val="20"/>
          <w:lang w:val="es-AR"/>
        </w:rPr>
      </w:pPr>
    </w:p>
    <w:p w:rsidR="001D294C" w:rsidRDefault="001D294C" w:rsidP="005F1A2B">
      <w:pPr>
        <w:spacing w:after="0" w:line="240" w:lineRule="auto"/>
        <w:ind w:firstLine="708"/>
        <w:rPr>
          <w:sz w:val="20"/>
          <w:szCs w:val="20"/>
          <w:lang w:val="es-AR"/>
        </w:rPr>
      </w:pPr>
    </w:p>
    <w:p w:rsidR="001D294C" w:rsidRDefault="001D294C" w:rsidP="005F1A2B">
      <w:pPr>
        <w:spacing w:after="0" w:line="240" w:lineRule="auto"/>
        <w:ind w:firstLine="708"/>
        <w:rPr>
          <w:sz w:val="20"/>
          <w:szCs w:val="20"/>
          <w:lang w:val="es-AR"/>
        </w:rPr>
      </w:pPr>
    </w:p>
    <w:p w:rsidR="001D294C" w:rsidRPr="001D294C" w:rsidRDefault="001D294C" w:rsidP="001D294C">
      <w:pPr>
        <w:spacing w:after="0" w:line="240" w:lineRule="auto"/>
        <w:ind w:firstLine="708"/>
        <w:jc w:val="center"/>
        <w:rPr>
          <w:sz w:val="28"/>
          <w:szCs w:val="28"/>
          <w:lang w:val="es-AR"/>
        </w:rPr>
      </w:pPr>
      <w:r w:rsidRPr="001D294C">
        <w:rPr>
          <w:sz w:val="28"/>
          <w:szCs w:val="28"/>
          <w:lang w:val="es-AR"/>
        </w:rPr>
        <w:t>SE RECUERDA QUE EL 4/9/2019 ES LA REUNION 30</w:t>
      </w:r>
      <w:r>
        <w:rPr>
          <w:sz w:val="28"/>
          <w:szCs w:val="28"/>
          <w:lang w:val="es-AR"/>
        </w:rPr>
        <w:t>°</w:t>
      </w:r>
      <w:r w:rsidRPr="001D294C">
        <w:rPr>
          <w:sz w:val="28"/>
          <w:szCs w:val="28"/>
          <w:lang w:val="es-AR"/>
        </w:rPr>
        <w:t xml:space="preserve"> ANIVERSARIO DE CABASE. SE REQUIERE REGISTRARSE PARA ORGANIZAR CORRECTAMENTE.</w:t>
      </w:r>
      <w:bookmarkStart w:id="0" w:name="_GoBack"/>
      <w:bookmarkEnd w:id="0"/>
    </w:p>
    <w:sectPr w:rsidR="001D294C" w:rsidRPr="001D29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415" w:rsidRDefault="00491415">
      <w:pPr>
        <w:spacing w:after="0" w:line="240" w:lineRule="auto"/>
      </w:pPr>
      <w:r>
        <w:separator/>
      </w:r>
    </w:p>
  </w:endnote>
  <w:endnote w:type="continuationSeparator" w:id="0">
    <w:p w:rsidR="00491415" w:rsidRDefault="0049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:rsidR="00BC5C99" w:rsidRDefault="00BC5C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415" w:rsidRDefault="00491415">
      <w:pPr>
        <w:spacing w:after="0" w:line="240" w:lineRule="auto"/>
      </w:pPr>
      <w:r>
        <w:separator/>
      </w:r>
    </w:p>
  </w:footnote>
  <w:footnote w:type="continuationSeparator" w:id="0">
    <w:p w:rsidR="00491415" w:rsidRDefault="0049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060704" cy="750069"/>
          <wp:effectExtent l="0" t="0" r="635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C99" w:rsidRDefault="003D4F6A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:rsidR="00BC5C99" w:rsidRDefault="00BC5C99">
    <w:pPr>
      <w:pStyle w:val="Encabezado"/>
      <w:jc w:val="center"/>
      <w:rPr>
        <w:b/>
        <w:color w:val="C0C0C0"/>
      </w:rPr>
    </w:pPr>
  </w:p>
  <w:p w:rsidR="00BC5C99" w:rsidRDefault="00BC5C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64" w:rsidRDefault="00B218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75F94"/>
    <w:rsid w:val="000F5B3E"/>
    <w:rsid w:val="001070A6"/>
    <w:rsid w:val="00111C19"/>
    <w:rsid w:val="001801B0"/>
    <w:rsid w:val="001A3665"/>
    <w:rsid w:val="001D294C"/>
    <w:rsid w:val="001F1882"/>
    <w:rsid w:val="002358AB"/>
    <w:rsid w:val="00265745"/>
    <w:rsid w:val="0028106E"/>
    <w:rsid w:val="002B5F08"/>
    <w:rsid w:val="002C1041"/>
    <w:rsid w:val="002F5B64"/>
    <w:rsid w:val="00306C91"/>
    <w:rsid w:val="003434A0"/>
    <w:rsid w:val="003636FE"/>
    <w:rsid w:val="00370943"/>
    <w:rsid w:val="003938A2"/>
    <w:rsid w:val="003B2977"/>
    <w:rsid w:val="003D4F6A"/>
    <w:rsid w:val="003D55E9"/>
    <w:rsid w:val="004020DA"/>
    <w:rsid w:val="00435357"/>
    <w:rsid w:val="004518E2"/>
    <w:rsid w:val="004715F0"/>
    <w:rsid w:val="00486356"/>
    <w:rsid w:val="00491415"/>
    <w:rsid w:val="004A132D"/>
    <w:rsid w:val="004B7991"/>
    <w:rsid w:val="004C1EF3"/>
    <w:rsid w:val="004C380F"/>
    <w:rsid w:val="004D1F63"/>
    <w:rsid w:val="004E3D52"/>
    <w:rsid w:val="004E6E21"/>
    <w:rsid w:val="004F317B"/>
    <w:rsid w:val="0052772D"/>
    <w:rsid w:val="00556CF7"/>
    <w:rsid w:val="00586D7D"/>
    <w:rsid w:val="00595538"/>
    <w:rsid w:val="005C78E6"/>
    <w:rsid w:val="005F1A2B"/>
    <w:rsid w:val="00613A44"/>
    <w:rsid w:val="00613D2F"/>
    <w:rsid w:val="006421AE"/>
    <w:rsid w:val="006464AA"/>
    <w:rsid w:val="00681A4B"/>
    <w:rsid w:val="006A3FD8"/>
    <w:rsid w:val="006C5A2B"/>
    <w:rsid w:val="00713DC2"/>
    <w:rsid w:val="00743BAA"/>
    <w:rsid w:val="0074644D"/>
    <w:rsid w:val="00761BFA"/>
    <w:rsid w:val="00776741"/>
    <w:rsid w:val="007834BD"/>
    <w:rsid w:val="007A77B6"/>
    <w:rsid w:val="007B01D4"/>
    <w:rsid w:val="007F3567"/>
    <w:rsid w:val="0081316A"/>
    <w:rsid w:val="008371EF"/>
    <w:rsid w:val="00840F7C"/>
    <w:rsid w:val="0087754E"/>
    <w:rsid w:val="008850DD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587A"/>
    <w:rsid w:val="00A208DF"/>
    <w:rsid w:val="00A774FB"/>
    <w:rsid w:val="00A8086B"/>
    <w:rsid w:val="00AA2042"/>
    <w:rsid w:val="00AF5502"/>
    <w:rsid w:val="00B03DF3"/>
    <w:rsid w:val="00B21864"/>
    <w:rsid w:val="00B349D5"/>
    <w:rsid w:val="00B46769"/>
    <w:rsid w:val="00BA740C"/>
    <w:rsid w:val="00BB11DF"/>
    <w:rsid w:val="00BB2080"/>
    <w:rsid w:val="00BC5C99"/>
    <w:rsid w:val="00BD4DA7"/>
    <w:rsid w:val="00C05279"/>
    <w:rsid w:val="00C27BD5"/>
    <w:rsid w:val="00C41558"/>
    <w:rsid w:val="00C50E94"/>
    <w:rsid w:val="00C6242B"/>
    <w:rsid w:val="00C71F98"/>
    <w:rsid w:val="00C77488"/>
    <w:rsid w:val="00C95DB6"/>
    <w:rsid w:val="00C9614A"/>
    <w:rsid w:val="00CA1843"/>
    <w:rsid w:val="00CB34C0"/>
    <w:rsid w:val="00CD25D3"/>
    <w:rsid w:val="00D04CDD"/>
    <w:rsid w:val="00D079BF"/>
    <w:rsid w:val="00D24E1C"/>
    <w:rsid w:val="00D47505"/>
    <w:rsid w:val="00D516B8"/>
    <w:rsid w:val="00D60BA3"/>
    <w:rsid w:val="00D93AAE"/>
    <w:rsid w:val="00DE1C41"/>
    <w:rsid w:val="00DF4109"/>
    <w:rsid w:val="00E10345"/>
    <w:rsid w:val="00E208E0"/>
    <w:rsid w:val="00E322FE"/>
    <w:rsid w:val="00E44254"/>
    <w:rsid w:val="00E44588"/>
    <w:rsid w:val="00E457BE"/>
    <w:rsid w:val="00EB284B"/>
    <w:rsid w:val="00EB2A91"/>
    <w:rsid w:val="00EB6BBD"/>
    <w:rsid w:val="00ED02A6"/>
    <w:rsid w:val="00F14F40"/>
    <w:rsid w:val="00F44668"/>
    <w:rsid w:val="00F5317B"/>
    <w:rsid w:val="00F873B5"/>
    <w:rsid w:val="00FA7DEA"/>
    <w:rsid w:val="00FB477B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79289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@listas.cabase.org.a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6</cp:revision>
  <dcterms:created xsi:type="dcterms:W3CDTF">2019-08-20T19:19:00Z</dcterms:created>
  <dcterms:modified xsi:type="dcterms:W3CDTF">2019-08-20T19:49:00Z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