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1BB22DFE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proofErr w:type="gramStart"/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>ECHA :</w:t>
      </w:r>
      <w:proofErr w:type="gramEnd"/>
      <w:r w:rsidR="00DF4109" w:rsidRPr="416B3E34">
        <w:rPr>
          <w:sz w:val="20"/>
          <w:szCs w:val="20"/>
        </w:rPr>
        <w:t xml:space="preserve">  DÍA </w:t>
      </w:r>
      <w:r w:rsidR="00E54D26">
        <w:rPr>
          <w:sz w:val="20"/>
          <w:szCs w:val="20"/>
        </w:rPr>
        <w:t>30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E54D26">
        <w:rPr>
          <w:sz w:val="20"/>
          <w:szCs w:val="20"/>
        </w:rPr>
        <w:t>Julio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5B439C27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 xml:space="preserve">HORA DE COMIENZO: </w:t>
      </w:r>
      <w:proofErr w:type="gramStart"/>
      <w:r w:rsidRPr="416B3E34">
        <w:rPr>
          <w:sz w:val="20"/>
          <w:szCs w:val="20"/>
        </w:rPr>
        <w:t>16:</w:t>
      </w:r>
      <w:r w:rsidR="00086AEA">
        <w:rPr>
          <w:sz w:val="20"/>
          <w:szCs w:val="20"/>
        </w:rPr>
        <w:t>10</w:t>
      </w:r>
      <w:r w:rsidRPr="416B3E34">
        <w:rPr>
          <w:sz w:val="20"/>
          <w:szCs w:val="20"/>
        </w:rPr>
        <w:t>.HS</w:t>
      </w:r>
      <w:proofErr w:type="gramEnd"/>
      <w:r w:rsidRPr="416B3E34">
        <w:rPr>
          <w:sz w:val="20"/>
          <w:szCs w:val="20"/>
        </w:rPr>
        <w:t xml:space="preserve">   HORA DE FINALIZACIÓN: 1</w:t>
      </w:r>
      <w:r w:rsidR="00086AEA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086AEA">
        <w:rPr>
          <w:sz w:val="20"/>
          <w:szCs w:val="20"/>
        </w:rPr>
        <w:t>0</w:t>
      </w:r>
      <w:r w:rsidR="00E32022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252"/>
        <w:gridCol w:w="3920"/>
        <w:gridCol w:w="1812"/>
      </w:tblGrid>
      <w:tr w:rsidR="004232E7" w:rsidRPr="008371EF" w14:paraId="5555F4A0" w14:textId="248C325F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093C62" w:rsidRPr="008371EF" w14:paraId="27505831" w14:textId="77777777" w:rsidTr="001867B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3996BE8" w14:textId="1ADC717D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FCD6C7C" w14:textId="15FA81F5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6C7BCA6" w14:textId="46585AA9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902CC5">
              <w:t>Netlink</w:t>
            </w:r>
            <w:proofErr w:type="spellEnd"/>
            <w:r w:rsidRPr="00902CC5">
              <w:t xml:space="preserve"> SRL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079CD97D" w14:textId="469AEA3F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093C62" w:rsidRPr="008371EF" w14:paraId="130CBC5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093C62" w:rsidRPr="008371EF" w14:paraId="33B790A6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093C62" w:rsidRPr="008371EF" w14:paraId="55CD6809" w14:textId="7FF6090F" w:rsidTr="00086AEA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093C62" w:rsidRPr="008371EF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086AEA" w:rsidRPr="008371EF" w14:paraId="07BBE744" w14:textId="77777777" w:rsidTr="00086AEA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96963AD" w14:textId="73AD166D" w:rsidR="00086AEA" w:rsidRPr="007F5601" w:rsidRDefault="00086AEA" w:rsidP="00093C62">
            <w:pPr>
              <w:spacing w:after="0" w:line="240" w:lineRule="auto"/>
              <w:ind w:left="708" w:hanging="708"/>
            </w:pPr>
            <w:r>
              <w:t>Bruno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B21911A" w14:textId="6F78FFEA" w:rsidR="00086AEA" w:rsidRPr="007F5601" w:rsidRDefault="00086AEA" w:rsidP="00093C62">
            <w:pPr>
              <w:spacing w:after="0" w:line="240" w:lineRule="auto"/>
            </w:pPr>
            <w:proofErr w:type="spellStart"/>
            <w:r>
              <w:t>Cambiaghi</w:t>
            </w:r>
            <w:proofErr w:type="spellEnd"/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1C8878F" w14:textId="7B117C84" w:rsidR="00086AEA" w:rsidRPr="007F5601" w:rsidRDefault="00086AEA" w:rsidP="00093C62">
            <w:pPr>
              <w:spacing w:after="0" w:line="240" w:lineRule="auto"/>
            </w:pPr>
            <w:proofErr w:type="spellStart"/>
            <w:r>
              <w:t>Destefani</w:t>
            </w:r>
            <w:proofErr w:type="spellEnd"/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5054F32" w14:textId="77777777" w:rsidR="00086AEA" w:rsidRPr="008371EF" w:rsidRDefault="00086AEA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086AEA" w:rsidRPr="008371EF" w14:paraId="6B52EBE1" w14:textId="77777777" w:rsidTr="00E54D26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F2DCE7" w14:textId="081665D6" w:rsidR="00086AEA" w:rsidRDefault="00086AEA" w:rsidP="00093C62">
            <w:pPr>
              <w:spacing w:after="0" w:line="240" w:lineRule="auto"/>
              <w:ind w:left="708" w:hanging="708"/>
            </w:pPr>
            <w:r>
              <w:t>Federico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5118C38" w14:textId="752597FA" w:rsidR="00086AEA" w:rsidRDefault="00086AEA" w:rsidP="00093C62">
            <w:pPr>
              <w:spacing w:after="0" w:line="240" w:lineRule="auto"/>
            </w:pPr>
            <w:r>
              <w:t>Ponce</w:t>
            </w:r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3D1550" w14:textId="3C7BA59D" w:rsidR="00086AEA" w:rsidRDefault="00086AEA" w:rsidP="00093C62">
            <w:pPr>
              <w:spacing w:after="0" w:line="240" w:lineRule="auto"/>
            </w:pPr>
            <w:proofErr w:type="spellStart"/>
            <w:r>
              <w:t>Destefani</w:t>
            </w:r>
            <w:proofErr w:type="spellEnd"/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677728" w14:textId="77777777" w:rsidR="00086AEA" w:rsidRPr="008371EF" w:rsidRDefault="00086AEA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E54D26" w:rsidRPr="008371EF" w14:paraId="75D408CE" w14:textId="77777777" w:rsidTr="00E54D26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ED58D4F" w14:textId="11545BC9" w:rsidR="00E54D26" w:rsidRDefault="00E54D26" w:rsidP="00093C62">
            <w:pPr>
              <w:spacing w:after="0" w:line="240" w:lineRule="auto"/>
              <w:ind w:left="708" w:hanging="708"/>
            </w:pPr>
            <w:r>
              <w:t>Luis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19AE45F" w14:textId="3206AE64" w:rsidR="00E54D26" w:rsidRDefault="00E54D26" w:rsidP="00093C62">
            <w:pPr>
              <w:spacing w:after="0" w:line="240" w:lineRule="auto"/>
            </w:pPr>
            <w:r>
              <w:t>Arias</w:t>
            </w:r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E37CDBB" w14:textId="677F40C0" w:rsidR="00E54D26" w:rsidRDefault="00E54D26" w:rsidP="00093C62">
            <w:pPr>
              <w:spacing w:after="0" w:line="240" w:lineRule="auto"/>
            </w:pPr>
            <w:proofErr w:type="spellStart"/>
            <w:r>
              <w:t>Techtron</w:t>
            </w:r>
            <w:proofErr w:type="spellEnd"/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DC41C6" w14:textId="77777777" w:rsidR="00E54D26" w:rsidRPr="008371EF" w:rsidRDefault="00E54D26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E54D26" w:rsidRPr="008371EF" w14:paraId="47E36069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6712A25" w14:textId="5D9F3ED2" w:rsidR="00E54D26" w:rsidRDefault="00E54D26" w:rsidP="00093C62">
            <w:pPr>
              <w:spacing w:after="0" w:line="240" w:lineRule="auto"/>
              <w:ind w:left="708" w:hanging="708"/>
            </w:pPr>
            <w:r>
              <w:t>José Luis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E6AA76E" w14:textId="4C915A3D" w:rsidR="00E54D26" w:rsidRDefault="00E54D26" w:rsidP="00093C62">
            <w:pPr>
              <w:spacing w:after="0" w:line="240" w:lineRule="auto"/>
            </w:pPr>
            <w:proofErr w:type="spellStart"/>
            <w:r>
              <w:t>Vanella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CA60692" w14:textId="4C9C704F" w:rsidR="00E54D26" w:rsidRDefault="00E54D26" w:rsidP="00093C62">
            <w:pPr>
              <w:spacing w:after="0" w:line="240" w:lineRule="auto"/>
            </w:pPr>
            <w:proofErr w:type="spellStart"/>
            <w:r>
              <w:t>Techtron</w:t>
            </w:r>
            <w:proofErr w:type="spellEnd"/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856E030" w14:textId="77777777" w:rsidR="00E54D26" w:rsidRPr="008371EF" w:rsidRDefault="00E54D26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7770E41E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 xml:space="preserve">Saldo de Caja: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$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-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2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865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056</w:t>
      </w:r>
    </w:p>
    <w:p w14:paraId="50707344" w14:textId="77777777" w:rsidR="00E54D26" w:rsidRDefault="00E54D26" w:rsidP="00E54D26">
      <w:pPr>
        <w:spacing w:after="0" w:line="240" w:lineRule="auto"/>
        <w:ind w:left="708"/>
      </w:pPr>
      <w:r w:rsidRPr="00825085">
        <w:t xml:space="preserve">Fondo de Reserva 1: $ </w:t>
      </w:r>
      <w:r>
        <w:t>0</w:t>
      </w:r>
      <w:r w:rsidRPr="00825085">
        <w:cr/>
        <w:t xml:space="preserve">Fondo de Reserva en </w:t>
      </w:r>
      <w:proofErr w:type="spellStart"/>
      <w:r w:rsidRPr="00825085">
        <w:t>u$s</w:t>
      </w:r>
      <w:proofErr w:type="spellEnd"/>
      <w:r w:rsidRPr="00825085">
        <w:t>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5D368F0C" w14:textId="349EE754" w:rsidR="00E54D26" w:rsidRDefault="00E54D26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  <w:r>
        <w:t>Deuda Cta. Cte. al 3</w:t>
      </w:r>
      <w:r>
        <w:t>0</w:t>
      </w:r>
      <w:r>
        <w:t>/</w:t>
      </w:r>
      <w:r>
        <w:t>7</w:t>
      </w:r>
      <w:r w:rsidRPr="00C76408">
        <w:t xml:space="preserve">: </w:t>
      </w:r>
      <w:r w:rsidRPr="00C7640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$ </w:t>
      </w:r>
      <w:r>
        <w:rPr>
          <w:rFonts w:ascii="Arial" w:eastAsia="Times New Roman" w:hAnsi="Arial" w:cs="Arial"/>
          <w:sz w:val="20"/>
          <w:szCs w:val="20"/>
          <w:lang w:val="es-AR" w:eastAsia="es-AR"/>
        </w:rPr>
        <w:t>5</w:t>
      </w:r>
      <w:r>
        <w:rPr>
          <w:rFonts w:ascii="Arial" w:eastAsia="Times New Roman" w:hAnsi="Arial" w:cs="Arial"/>
          <w:sz w:val="20"/>
          <w:szCs w:val="20"/>
          <w:lang w:val="es-AR" w:eastAsia="es-AR"/>
        </w:rPr>
        <w:t>.</w:t>
      </w:r>
      <w:r>
        <w:rPr>
          <w:rFonts w:ascii="Arial" w:eastAsia="Times New Roman" w:hAnsi="Arial" w:cs="Arial"/>
          <w:sz w:val="20"/>
          <w:szCs w:val="20"/>
          <w:lang w:val="es-AR" w:eastAsia="es-AR"/>
        </w:rPr>
        <w:t>828.992,36</w:t>
      </w:r>
    </w:p>
    <w:p w14:paraId="111AB5E6" w14:textId="754F02B8" w:rsidR="00E54D26" w:rsidRDefault="00E54D26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  <w:r>
        <w:rPr>
          <w:rFonts w:ascii="Arial" w:eastAsia="Times New Roman" w:hAnsi="Arial" w:cs="Arial"/>
          <w:sz w:val="20"/>
          <w:szCs w:val="20"/>
          <w:lang w:val="es-AR" w:eastAsia="es-AR"/>
        </w:rPr>
        <w:t>Pero ingresó un pago de $ 4.000.000 que falta registrar y deja un saldo positivo de caja.</w:t>
      </w:r>
    </w:p>
    <w:p w14:paraId="332622B4" w14:textId="77777777" w:rsidR="00E54D26" w:rsidRDefault="00E54D26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48C0F9AB" w14:textId="77777777" w:rsidR="00E54D26" w:rsidRPr="00C76408" w:rsidRDefault="00E54D26" w:rsidP="00E54D26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0"/>
          <w:szCs w:val="20"/>
          <w:lang w:val="es-AR" w:eastAsia="es-AR"/>
        </w:rPr>
      </w:pPr>
      <w:r>
        <w:rPr>
          <w:rFonts w:ascii="Arial" w:eastAsia="Times New Roman" w:hAnsi="Arial" w:cs="Arial"/>
          <w:sz w:val="20"/>
          <w:szCs w:val="20"/>
          <w:lang w:val="es-AR" w:eastAsia="es-AR"/>
        </w:rPr>
        <w:t>Entre 10 y 15 de cada mes se volverán a enviar los informes de caja.</w:t>
      </w:r>
    </w:p>
    <w:p w14:paraId="2E36E90B" w14:textId="77777777" w:rsidR="00E54D26" w:rsidRDefault="00E54D26" w:rsidP="00E54D26">
      <w:pPr>
        <w:spacing w:after="0" w:line="240" w:lineRule="auto"/>
        <w:ind w:left="360" w:firstLine="348"/>
      </w:pPr>
    </w:p>
    <w:p w14:paraId="2428D3B5" w14:textId="05EFEFE5" w:rsidR="00D85B92" w:rsidRDefault="00D85B92" w:rsidP="00D85B92">
      <w:pPr>
        <w:spacing w:after="0" w:line="240" w:lineRule="auto"/>
        <w:rPr>
          <w:b/>
          <w:bCs/>
        </w:rPr>
      </w:pPr>
    </w:p>
    <w:p w14:paraId="59FFF694" w14:textId="77777777" w:rsidR="00D875B5" w:rsidRDefault="00D875B5" w:rsidP="00D85B92">
      <w:pPr>
        <w:spacing w:after="0" w:line="240" w:lineRule="auto"/>
        <w:rPr>
          <w:b/>
          <w:bCs/>
        </w:rPr>
      </w:pPr>
    </w:p>
    <w:p w14:paraId="734FA449" w14:textId="6B192213" w:rsidR="00D875B5" w:rsidRPr="003226AE" w:rsidRDefault="00991EB3" w:rsidP="003226AE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3474354C" w14:textId="3119BDA7" w:rsidR="00991EB3" w:rsidRDefault="00991EB3" w:rsidP="00991EB3">
      <w:pPr>
        <w:spacing w:after="0" w:line="240" w:lineRule="auto"/>
      </w:pPr>
      <w:r>
        <w:t xml:space="preserve">Juan </w:t>
      </w:r>
      <w:proofErr w:type="spellStart"/>
      <w:r>
        <w:t>Vitale</w:t>
      </w:r>
      <w:proofErr w:type="spellEnd"/>
      <w:r>
        <w:t xml:space="preserve"> comenta los avances sobre la instalación de los servidores nuevos de Meta.</w:t>
      </w:r>
      <w:r>
        <w:t xml:space="preserve"> Queda pendiente la conexión del switch Arista de Meta con el Huawei del IXP, podría requerir la adquisición de módulos de 100G</w:t>
      </w:r>
    </w:p>
    <w:p w14:paraId="17B53BD5" w14:textId="7816B225" w:rsidR="0043317A" w:rsidRDefault="0043317A" w:rsidP="00991EB3">
      <w:pPr>
        <w:spacing w:after="0" w:line="240" w:lineRule="auto"/>
      </w:pPr>
      <w:r>
        <w:t>Se aprueba la compra de módulos necesarios para la conexión.</w:t>
      </w:r>
    </w:p>
    <w:p w14:paraId="0B24000A" w14:textId="77777777" w:rsidR="0043317A" w:rsidRDefault="0043317A" w:rsidP="00991EB3">
      <w:pPr>
        <w:spacing w:after="0" w:line="240" w:lineRule="auto"/>
      </w:pPr>
    </w:p>
    <w:p w14:paraId="692D7CF3" w14:textId="3535A026" w:rsidR="00991EB3" w:rsidRDefault="00991EB3" w:rsidP="00991EB3">
      <w:pPr>
        <w:spacing w:after="0" w:line="240" w:lineRule="auto"/>
      </w:pPr>
      <w:r>
        <w:t xml:space="preserve">Ya se mandó el Huawei 6720 a RC y falta </w:t>
      </w:r>
      <w:r>
        <w:t xml:space="preserve">que nos envíen </w:t>
      </w:r>
      <w:r>
        <w:t>el</w:t>
      </w:r>
      <w:r>
        <w:t xml:space="preserve"> segundo</w:t>
      </w:r>
      <w:r>
        <w:t xml:space="preserve"> 6730.</w:t>
      </w:r>
    </w:p>
    <w:p w14:paraId="72A1BA46" w14:textId="1BCB5039" w:rsidR="00D875B5" w:rsidRDefault="00991EB3" w:rsidP="00D875B5">
      <w:pPr>
        <w:spacing w:after="0" w:line="240" w:lineRule="auto"/>
      </w:pPr>
      <w:r>
        <w:t xml:space="preserve">Se ha pedido cotización de un nuevo Rack a SILICA; Ricardo estima un costo mensual de U$S </w:t>
      </w:r>
      <w:r w:rsidR="0043317A">
        <w:t>500 pero</w:t>
      </w:r>
      <w:r>
        <w:t xml:space="preserve"> ha pedido una revisión de costos.</w:t>
      </w:r>
    </w:p>
    <w:p w14:paraId="70B4F931" w14:textId="77777777" w:rsidR="003226AE" w:rsidRDefault="003226AE" w:rsidP="00D875B5">
      <w:pPr>
        <w:spacing w:after="0" w:line="240" w:lineRule="auto"/>
      </w:pPr>
    </w:p>
    <w:p w14:paraId="5DCACBC6" w14:textId="77777777" w:rsidR="003226AE" w:rsidRDefault="003226AE" w:rsidP="003226AE">
      <w:pPr>
        <w:spacing w:after="0" w:line="240" w:lineRule="auto"/>
      </w:pPr>
      <w:r>
        <w:t>Gerardo consulta por fallas reiteras con pérdida de paquetes en el transporte a RC desde el 21/7, a lo cual SILICA no ha respondido.</w:t>
      </w:r>
    </w:p>
    <w:p w14:paraId="3721E61B" w14:textId="77777777" w:rsidR="0043317A" w:rsidRPr="00991EB3" w:rsidRDefault="0043317A" w:rsidP="00D875B5">
      <w:pPr>
        <w:spacing w:after="0" w:line="240" w:lineRule="auto"/>
      </w:pPr>
    </w:p>
    <w:p w14:paraId="79A837B6" w14:textId="0F877924" w:rsidR="0043317A" w:rsidRDefault="00D875B5" w:rsidP="0043317A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08D8FF99" w14:textId="77777777" w:rsidR="0043317A" w:rsidRPr="0043317A" w:rsidRDefault="0043317A" w:rsidP="0043317A">
      <w:pPr>
        <w:pStyle w:val="Prrafodelista"/>
        <w:spacing w:after="0" w:line="240" w:lineRule="auto"/>
        <w:ind w:left="786"/>
        <w:rPr>
          <w:b/>
          <w:bCs/>
        </w:rPr>
      </w:pPr>
    </w:p>
    <w:p w14:paraId="7DB474F6" w14:textId="39DD5DC8" w:rsidR="003226AE" w:rsidRDefault="003226AE" w:rsidP="0043317A">
      <w:pPr>
        <w:spacing w:after="0" w:line="240" w:lineRule="auto"/>
      </w:pPr>
      <w:r>
        <w:t xml:space="preserve">Bruno solicita para las próximas reuniones anticipar los temas a tratar. También solicitar actualización del grupo de </w:t>
      </w:r>
      <w:proofErr w:type="spellStart"/>
      <w:r>
        <w:t>Whatsapp</w:t>
      </w:r>
      <w:proofErr w:type="spellEnd"/>
      <w:r w:rsidR="00B8749D">
        <w:t xml:space="preserve"> y una capacitación para nivelar conocimientos técnicos.</w:t>
      </w: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4254B003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1361E9">
        <w:rPr>
          <w:b/>
          <w:bCs/>
        </w:rPr>
        <w:t>2</w:t>
      </w:r>
      <w:r w:rsidR="003226AE">
        <w:rPr>
          <w:b/>
          <w:bCs/>
        </w:rPr>
        <w:t>7</w:t>
      </w:r>
      <w:r w:rsidRPr="569FD34D">
        <w:rPr>
          <w:b/>
          <w:bCs/>
        </w:rPr>
        <w:t>/</w:t>
      </w:r>
      <w:r w:rsidR="00B3301D">
        <w:rPr>
          <w:b/>
          <w:bCs/>
        </w:rPr>
        <w:t>0</w:t>
      </w:r>
      <w:r w:rsidR="003226AE">
        <w:rPr>
          <w:b/>
          <w:bCs/>
        </w:rPr>
        <w:t>8</w:t>
      </w:r>
      <w:r w:rsidRPr="569FD34D">
        <w:rPr>
          <w:b/>
          <w:bCs/>
        </w:rPr>
        <w:t>/202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16hs</w:t>
      </w:r>
    </w:p>
    <w:p w14:paraId="0F309E23" w14:textId="04CFE424" w:rsidR="00992B62" w:rsidRDefault="00992B62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sectPr w:rsidR="00992B62" w:rsidSect="00DE12A9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9B8A3" w14:textId="77777777" w:rsidR="00D731FF" w:rsidRDefault="00D731FF" w:rsidP="00BA740C">
      <w:pPr>
        <w:spacing w:after="0" w:line="240" w:lineRule="auto"/>
      </w:pPr>
      <w:r>
        <w:separator/>
      </w:r>
    </w:p>
  </w:endnote>
  <w:endnote w:type="continuationSeparator" w:id="0">
    <w:p w14:paraId="4116B593" w14:textId="77777777" w:rsidR="00D731FF" w:rsidRDefault="00D731FF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proofErr w:type="gramStart"/>
    <w:r w:rsidRPr="00761BFA">
      <w:rPr>
        <w:sz w:val="16"/>
        <w:szCs w:val="16"/>
      </w:rPr>
      <w:t>Consultas :</w:t>
    </w:r>
    <w:proofErr w:type="gramEnd"/>
    <w:r w:rsidRPr="00761BFA">
      <w:rPr>
        <w:sz w:val="16"/>
        <w:szCs w:val="16"/>
      </w:rPr>
      <w:t xml:space="preserve">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A9FEE" w14:textId="77777777" w:rsidR="00D731FF" w:rsidRDefault="00D731FF" w:rsidP="00BA740C">
      <w:pPr>
        <w:spacing w:after="0" w:line="240" w:lineRule="auto"/>
      </w:pPr>
      <w:r>
        <w:separator/>
      </w:r>
    </w:p>
  </w:footnote>
  <w:footnote w:type="continuationSeparator" w:id="0">
    <w:p w14:paraId="27A66F20" w14:textId="77777777" w:rsidR="00D731FF" w:rsidRDefault="00D731FF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9"/>
  </w:num>
  <w:num w:numId="3" w16cid:durableId="109784106">
    <w:abstractNumId w:val="17"/>
  </w:num>
  <w:num w:numId="4" w16cid:durableId="1938519778">
    <w:abstractNumId w:val="4"/>
  </w:num>
  <w:num w:numId="5" w16cid:durableId="1895464227">
    <w:abstractNumId w:val="24"/>
  </w:num>
  <w:num w:numId="6" w16cid:durableId="1782141225">
    <w:abstractNumId w:val="16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3"/>
  </w:num>
  <w:num w:numId="12" w16cid:durableId="1668170154">
    <w:abstractNumId w:val="15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2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0"/>
  </w:num>
  <w:num w:numId="19" w16cid:durableId="357044362">
    <w:abstractNumId w:val="18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1"/>
  </w:num>
  <w:num w:numId="25" w16cid:durableId="395128219">
    <w:abstractNumId w:val="22"/>
  </w:num>
  <w:num w:numId="26" w16cid:durableId="71874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17A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756C9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206C5"/>
    <w:rsid w:val="00620CE7"/>
    <w:rsid w:val="0062545E"/>
    <w:rsid w:val="00635F2D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4F96"/>
    <w:rsid w:val="008A7B1D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1EB3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39CC"/>
    <w:rsid w:val="00B67DC7"/>
    <w:rsid w:val="00B7219E"/>
    <w:rsid w:val="00B72559"/>
    <w:rsid w:val="00B741D6"/>
    <w:rsid w:val="00B7474C"/>
    <w:rsid w:val="00B75BFC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F1B7E"/>
    <w:rsid w:val="00BF2A1E"/>
    <w:rsid w:val="00BF3325"/>
    <w:rsid w:val="00BF4170"/>
    <w:rsid w:val="00C0277A"/>
    <w:rsid w:val="00C03294"/>
    <w:rsid w:val="00C12B76"/>
    <w:rsid w:val="00C138B7"/>
    <w:rsid w:val="00C20594"/>
    <w:rsid w:val="00C213CE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1B49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1D9C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2024-09-24T10:51:00Z</dcterms:created>
  <dcterms:modified xsi:type="dcterms:W3CDTF">2024-09-24T11:48:00Z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